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2B45F10D">
      <w:pPr>
        <w:snapToGrid w:val="0"/>
        <w:spacing w:beforeLines="50" w:line="360" w:lineRule="auto"/>
        <w:jc w:val="center"/>
        <w:rPr>
          <w:rFonts w:ascii="宋体" w:hAnsi="宋体" w:cs="宋体"/>
          <w:b/>
          <w:bCs/>
          <w:kern w:val="1"/>
          <w:sz w:val="32"/>
          <w:szCs w:val="32"/>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融水苗族自治县人民医院专线防火墙</w:t>
      </w:r>
    </w:p>
    <w:p w14:paraId="7B6F965F">
      <w:pPr>
        <w:snapToGrid w:val="0"/>
        <w:spacing w:beforeLines="50" w:line="360" w:lineRule="auto"/>
        <w:jc w:val="center"/>
        <w:rPr>
          <w:rFonts w:ascii="宋体" w:hAnsi="宋体" w:cs="宋体"/>
          <w:b/>
          <w:bCs/>
          <w:sz w:val="32"/>
          <w:szCs w:val="32"/>
        </w:rPr>
      </w:pPr>
      <w:r>
        <w:rPr>
          <w:rFonts w:hint="eastAsia" w:ascii="宋体" w:hAnsi="宋体" w:cs="宋体"/>
          <w:b/>
          <w:bCs/>
          <w:kern w:val="1"/>
          <w:sz w:val="32"/>
          <w:szCs w:val="32"/>
        </w:rPr>
        <w:t>采购项目</w:t>
      </w:r>
    </w:p>
    <w:p w14:paraId="767FE7ED">
      <w:pPr>
        <w:pStyle w:val="25"/>
        <w:tabs>
          <w:tab w:val="left" w:pos="3060"/>
        </w:tabs>
        <w:snapToGrid w:val="0"/>
        <w:spacing w:before="120" w:after="120" w:line="360" w:lineRule="auto"/>
        <w:jc w:val="center"/>
        <w:rPr>
          <w:rFonts w:hAnsi="宋体" w:cs="宋体"/>
          <w:b/>
          <w:bCs/>
          <w:sz w:val="32"/>
          <w:szCs w:val="32"/>
        </w:rPr>
      </w:pPr>
      <w:bookmarkStart w:id="2" w:name="_Toc10811"/>
      <w:r>
        <w:rPr>
          <w:rFonts w:hint="eastAsia" w:hAnsi="宋体" w:cs="宋体"/>
          <w:b/>
          <w:bCs/>
          <w:sz w:val="32"/>
          <w:szCs w:val="32"/>
        </w:rPr>
        <w:t>项目编号：</w:t>
      </w:r>
      <w:bookmarkEnd w:id="2"/>
      <w:r>
        <w:rPr>
          <w:rFonts w:hint="eastAsia" w:hAnsi="宋体" w:cs="宋体"/>
          <w:b/>
          <w:bCs/>
          <w:sz w:val="32"/>
          <w:szCs w:val="32"/>
        </w:rPr>
        <w:t>RYCG2026062</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2026年5月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rPr>
        <w:t>8</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融水苗族自治县人民医院就专线防火墙采购项目组织院内议价，欢迎符合资格条件的供应商参与。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宋体" w:hAnsi="宋体" w:cs="宋体"/>
          <w:bCs/>
          <w:szCs w:val="21"/>
        </w:rPr>
        <w:t>融水苗族自治县人民医院专线防火墙采购项目</w:t>
      </w:r>
    </w:p>
    <w:p w14:paraId="31CD0FD0">
      <w:pPr>
        <w:spacing w:line="360" w:lineRule="auto"/>
        <w:ind w:firstLine="422" w:firstLineChars="200"/>
        <w:rPr>
          <w:rFonts w:ascii="宋体" w:hAnsi="宋体" w:cs="宋体"/>
          <w:bCs/>
          <w:szCs w:val="21"/>
        </w:rPr>
      </w:pPr>
      <w:r>
        <w:rPr>
          <w:rFonts w:hint="eastAsia" w:ascii="宋体" w:hAnsi="宋体" w:cs="宋体"/>
          <w:b/>
          <w:szCs w:val="21"/>
        </w:rPr>
        <w:t>2.项目编号：</w:t>
      </w:r>
      <w:r>
        <w:rPr>
          <w:rFonts w:hint="eastAsia" w:ascii="宋体" w:hAnsi="宋体" w:cs="宋体"/>
          <w:bCs/>
          <w:szCs w:val="21"/>
        </w:rPr>
        <w:t>RYCG2026062</w:t>
      </w:r>
    </w:p>
    <w:p w14:paraId="3B12A3C0">
      <w:pPr>
        <w:spacing w:line="360" w:lineRule="auto"/>
        <w:ind w:firstLine="422" w:firstLineChars="200"/>
        <w:rPr>
          <w:rFonts w:ascii="宋体" w:hAnsi="宋体" w:cs="宋体"/>
          <w:bCs/>
          <w:szCs w:val="21"/>
        </w:rPr>
      </w:pPr>
      <w:r>
        <w:rPr>
          <w:rFonts w:hint="eastAsia" w:ascii="宋体" w:hAnsi="宋体" w:cs="宋体"/>
          <w:b/>
          <w:szCs w:val="21"/>
        </w:rPr>
        <w:t>3.采购控制价：</w:t>
      </w:r>
      <w:r>
        <w:rPr>
          <w:rFonts w:hint="eastAsia" w:ascii="宋体" w:hAnsi="宋体" w:cs="宋体"/>
          <w:bCs/>
          <w:szCs w:val="21"/>
        </w:rPr>
        <w:t>本项目控制价：53000</w:t>
      </w:r>
      <w:r>
        <w:rPr>
          <w:rFonts w:hint="eastAsia" w:ascii="宋体" w:hAnsi="宋体" w:cs="宋体"/>
          <w:bCs/>
          <w:szCs w:val="21"/>
          <w:lang w:val="en-US" w:eastAsia="zh-CN"/>
        </w:rPr>
        <w:t>.00</w:t>
      </w:r>
      <w:r>
        <w:rPr>
          <w:rFonts w:hint="eastAsia" w:ascii="宋体" w:hAnsi="宋体" w:cs="宋体"/>
          <w:bCs/>
          <w:szCs w:val="21"/>
        </w:rPr>
        <w:t>元（伍万叁仟元整），超控制价报价无效。</w:t>
      </w:r>
    </w:p>
    <w:p w14:paraId="23363A65">
      <w:pPr>
        <w:spacing w:line="360" w:lineRule="auto"/>
        <w:ind w:firstLine="422" w:firstLineChars="200"/>
        <w:rPr>
          <w:rFonts w:ascii="宋体" w:hAnsi="宋体" w:cs="宋体"/>
          <w:b/>
          <w:szCs w:val="21"/>
        </w:rPr>
      </w:pPr>
      <w:r>
        <w:rPr>
          <w:rFonts w:hint="eastAsia" w:ascii="宋体" w:hAnsi="宋体" w:cs="宋体"/>
          <w:b/>
          <w:szCs w:val="21"/>
        </w:rPr>
        <w:t>二、采购范围及项目概况：</w:t>
      </w:r>
    </w:p>
    <w:p w14:paraId="540D30B3">
      <w:pPr>
        <w:spacing w:line="360" w:lineRule="auto"/>
        <w:ind w:left="420" w:leftChars="200"/>
        <w:rPr>
          <w:rFonts w:ascii="宋体" w:hAnsi="宋体" w:cs="宋体"/>
          <w:b/>
          <w:szCs w:val="21"/>
        </w:rPr>
      </w:pPr>
      <w:r>
        <w:rPr>
          <w:rFonts w:hint="eastAsia" w:ascii="宋体" w:hAnsi="宋体" w:cs="宋体"/>
          <w:b/>
          <w:szCs w:val="21"/>
        </w:rPr>
        <w:t>1.项目背景：</w:t>
      </w:r>
      <w:r>
        <w:rPr>
          <w:rFonts w:hint="eastAsia" w:ascii="宋体" w:hAnsi="宋体" w:cs="宋体"/>
          <w:bCs/>
          <w:szCs w:val="21"/>
        </w:rPr>
        <w:t>医院现有专线防火墙 8 个线路口已全部用尽，无法满足业务扩展需求，需更换为高接口、高性能、高安全防护能力的下一代防火墙设备。</w:t>
      </w:r>
    </w:p>
    <w:p w14:paraId="0C8DC068">
      <w:pPr>
        <w:spacing w:line="360" w:lineRule="auto"/>
        <w:ind w:firstLine="422" w:firstLineChars="200"/>
        <w:rPr>
          <w:rFonts w:ascii="宋体" w:hAnsi="宋体" w:cs="宋体"/>
          <w:b/>
          <w:szCs w:val="21"/>
        </w:rPr>
      </w:pPr>
      <w:r>
        <w:rPr>
          <w:rFonts w:hint="eastAsia" w:ascii="宋体" w:hAnsi="宋体" w:cs="宋体"/>
          <w:b/>
          <w:szCs w:val="21"/>
        </w:rPr>
        <w:t>2.采购内容：</w:t>
      </w:r>
      <w:r>
        <w:rPr>
          <w:rFonts w:hint="eastAsia" w:ascii="宋体" w:hAnsi="宋体" w:cs="宋体"/>
          <w:bCs/>
          <w:szCs w:val="21"/>
        </w:rPr>
        <w:t>下一代防火墙设备 1 台，含安装调试、3 年硬件质保及软件特征库升级服务。</w:t>
      </w:r>
    </w:p>
    <w:p w14:paraId="4241B7B5">
      <w:pPr>
        <w:spacing w:line="360" w:lineRule="auto"/>
        <w:ind w:firstLine="422" w:firstLineChars="200"/>
        <w:rPr>
          <w:rFonts w:ascii="宋体" w:hAnsi="宋体" w:cs="宋体"/>
          <w:b/>
          <w:szCs w:val="21"/>
        </w:rPr>
      </w:pPr>
      <w:r>
        <w:rPr>
          <w:rFonts w:hint="eastAsia" w:ascii="宋体" w:hAnsi="宋体" w:cs="宋体"/>
          <w:b/>
          <w:szCs w:val="21"/>
        </w:rPr>
        <w:t>3.服务期限：</w:t>
      </w:r>
      <w:r>
        <w:rPr>
          <w:rFonts w:hint="eastAsia" w:ascii="宋体" w:hAnsi="宋体" w:cs="宋体"/>
          <w:bCs/>
          <w:szCs w:val="21"/>
        </w:rPr>
        <w:t>合同签订后7 个工作日内完成到货、安装、调试、上线运行。</w:t>
      </w:r>
    </w:p>
    <w:p w14:paraId="315D7DA9">
      <w:pPr>
        <w:spacing w:line="360" w:lineRule="auto"/>
        <w:ind w:firstLine="422" w:firstLineChars="200"/>
        <w:rPr>
          <w:rFonts w:ascii="宋体" w:hAnsi="宋体" w:cs="宋体"/>
          <w:b/>
          <w:szCs w:val="21"/>
        </w:rPr>
      </w:pPr>
      <w:r>
        <w:rPr>
          <w:rFonts w:hint="eastAsia" w:ascii="宋体" w:hAnsi="宋体" w:cs="宋体"/>
          <w:b/>
          <w:szCs w:val="21"/>
        </w:rPr>
        <w:t>4.质保服务：</w:t>
      </w:r>
      <w:r>
        <w:rPr>
          <w:rFonts w:hint="eastAsia" w:ascii="宋体" w:hAnsi="宋体" w:cs="宋体"/>
          <w:bCs/>
          <w:szCs w:val="21"/>
        </w:rPr>
        <w:t>原厂硬件质保 + 软件特征库升级服务不少于 3 年。</w:t>
      </w:r>
    </w:p>
    <w:p w14:paraId="44017062">
      <w:pPr>
        <w:ind w:firstLine="422" w:firstLineChars="200"/>
        <w:rPr>
          <w:color w:val="000000"/>
          <w:szCs w:val="21"/>
        </w:rPr>
      </w:pPr>
      <w:r>
        <w:rPr>
          <w:rFonts w:hint="eastAsia" w:ascii="宋体" w:hAnsi="宋体" w:cs="宋体"/>
          <w:b/>
          <w:szCs w:val="21"/>
        </w:rPr>
        <w:t>三、采购需求（核心参数）：详见附件（</w:t>
      </w:r>
      <w:r>
        <w:rPr>
          <w:color w:val="000000"/>
          <w:szCs w:val="21"/>
        </w:rPr>
        <w:t>融水苗族自治县人民医院专线防火墙</w:t>
      </w:r>
    </w:p>
    <w:p w14:paraId="7BE41A03">
      <w:pPr>
        <w:pStyle w:val="2"/>
        <w:keepNext w:val="0"/>
        <w:widowControl/>
        <w:spacing w:line="360" w:lineRule="atLeast"/>
        <w:ind w:firstLine="630" w:firstLineChars="300"/>
      </w:pPr>
      <w:r>
        <w:rPr>
          <w:b w:val="0"/>
          <w:bCs w:val="0"/>
          <w:color w:val="000000"/>
          <w:szCs w:val="21"/>
        </w:rPr>
        <w:t>采购项目</w:t>
      </w:r>
      <w:r>
        <w:rPr>
          <w:rFonts w:hint="eastAsia"/>
          <w:b w:val="0"/>
          <w:bCs w:val="0"/>
          <w:color w:val="000000"/>
          <w:szCs w:val="21"/>
        </w:rPr>
        <w:t>需求</w:t>
      </w:r>
      <w:r>
        <w:rPr>
          <w:rFonts w:hint="eastAsia" w:ascii="宋体" w:hAnsi="宋体" w:cs="宋体"/>
          <w:szCs w:val="21"/>
        </w:rPr>
        <w:t>）</w:t>
      </w: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00098703">
      <w:pPr>
        <w:spacing w:line="360" w:lineRule="auto"/>
        <w:ind w:firstLine="422" w:firstLineChars="200"/>
        <w:rPr>
          <w:rFonts w:ascii="宋体" w:hAnsi="宋体" w:cs="宋体"/>
          <w:bCs/>
          <w:szCs w:val="21"/>
        </w:rPr>
      </w:pPr>
      <w:r>
        <w:rPr>
          <w:rFonts w:hint="eastAsia" w:ascii="宋体" w:hAnsi="宋体" w:cs="宋体"/>
          <w:b/>
          <w:szCs w:val="21"/>
        </w:rPr>
        <w:t>1.</w:t>
      </w:r>
      <w:r>
        <w:rPr>
          <w:rFonts w:hint="eastAsia" w:ascii="宋体" w:hAnsi="宋体" w:cs="宋体"/>
          <w:bCs/>
          <w:szCs w:val="21"/>
        </w:rPr>
        <w:t>具有独立承担民事责任能力的法人或其他组织，提供营业执照。</w:t>
      </w:r>
    </w:p>
    <w:p w14:paraId="6FD5E9AF">
      <w:pPr>
        <w:spacing w:line="360" w:lineRule="auto"/>
        <w:ind w:firstLine="422" w:firstLineChars="200"/>
        <w:rPr>
          <w:rFonts w:ascii="宋体" w:hAnsi="宋体" w:cs="宋体"/>
          <w:bCs/>
          <w:szCs w:val="21"/>
        </w:rPr>
      </w:pPr>
      <w:r>
        <w:rPr>
          <w:rFonts w:hint="eastAsia" w:ascii="宋体" w:hAnsi="宋体" w:cs="宋体"/>
          <w:b/>
          <w:szCs w:val="21"/>
        </w:rPr>
        <w:t>2.</w:t>
      </w:r>
      <w:r>
        <w:rPr>
          <w:rFonts w:hint="eastAsia" w:ascii="宋体" w:hAnsi="宋体" w:cs="宋体"/>
          <w:bCs/>
          <w:szCs w:val="21"/>
        </w:rPr>
        <w:t>具备计算机信息系统集成或网络安全相关服务能力。</w:t>
      </w:r>
    </w:p>
    <w:p w14:paraId="7849575B">
      <w:pPr>
        <w:spacing w:line="360" w:lineRule="auto"/>
        <w:ind w:firstLine="422" w:firstLineChars="200"/>
        <w:rPr>
          <w:rFonts w:ascii="宋体" w:hAnsi="宋体" w:cs="宋体"/>
          <w:b/>
          <w:szCs w:val="21"/>
        </w:rPr>
      </w:pPr>
      <w:r>
        <w:rPr>
          <w:rFonts w:hint="eastAsia" w:ascii="宋体" w:hAnsi="宋体" w:cs="宋体"/>
          <w:b/>
          <w:szCs w:val="21"/>
        </w:rPr>
        <w:t>3.</w:t>
      </w:r>
      <w:r>
        <w:rPr>
          <w:rFonts w:hint="eastAsia" w:ascii="宋体" w:hAnsi="宋体" w:cs="宋体"/>
          <w:bCs/>
          <w:szCs w:val="21"/>
        </w:rPr>
        <w:t>供应商须为设备原厂或授权代理商，提供原厂售后服务承诺函。</w:t>
      </w:r>
    </w:p>
    <w:p w14:paraId="3984C831">
      <w:pPr>
        <w:spacing w:line="360" w:lineRule="auto"/>
        <w:ind w:firstLine="422" w:firstLineChars="200"/>
        <w:rPr>
          <w:rFonts w:ascii="宋体" w:hAnsi="宋体" w:cs="宋体"/>
          <w:b/>
          <w:szCs w:val="21"/>
        </w:rPr>
      </w:pPr>
      <w:r>
        <w:rPr>
          <w:rFonts w:hint="eastAsia" w:ascii="宋体" w:hAnsi="宋体" w:cs="宋体"/>
          <w:b/>
          <w:szCs w:val="21"/>
        </w:rPr>
        <w:t>4.</w:t>
      </w:r>
      <w:r>
        <w:rPr>
          <w:rFonts w:hint="eastAsia" w:ascii="宋体" w:hAnsi="宋体" w:cs="宋体"/>
          <w:bCs/>
          <w:szCs w:val="21"/>
        </w:rPr>
        <w:t>参加采购活动前 3 年内，在经营活动中无重大违法记录。</w:t>
      </w:r>
    </w:p>
    <w:p w14:paraId="228BE4FB">
      <w:pPr>
        <w:spacing w:line="360" w:lineRule="auto"/>
        <w:ind w:firstLine="422" w:firstLineChars="200"/>
        <w:rPr>
          <w:rFonts w:ascii="宋体" w:hAnsi="宋体" w:cs="宋体"/>
          <w:bCs/>
          <w:szCs w:val="21"/>
        </w:rPr>
      </w:pPr>
      <w:r>
        <w:rPr>
          <w:rFonts w:hint="eastAsia" w:ascii="宋体" w:hAnsi="宋体" w:cs="宋体"/>
          <w:b/>
          <w:szCs w:val="21"/>
        </w:rPr>
        <w:t>5.</w:t>
      </w:r>
      <w:r>
        <w:rPr>
          <w:rFonts w:hint="eastAsia" w:ascii="宋体" w:hAnsi="宋体" w:cs="宋体"/>
          <w:bCs/>
          <w:szCs w:val="21"/>
        </w:rPr>
        <w:t>本项目不接受联合体报价，不允许分包、转包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1.获取与截至时间：2026 年 5 月 7 日至2026年 5月 12 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6961EE0C">
      <w:pPr>
        <w:spacing w:line="360" w:lineRule="auto"/>
        <w:ind w:firstLine="420" w:firstLineChars="200"/>
        <w:rPr>
          <w:rFonts w:ascii="宋体" w:hAnsi="宋体" w:cs="宋体"/>
          <w:szCs w:val="21"/>
        </w:rPr>
      </w:pPr>
      <w:r>
        <w:rPr>
          <w:rFonts w:hint="eastAsia" w:ascii="宋体" w:hAnsi="宋体" w:cs="宋体"/>
          <w:szCs w:val="21"/>
        </w:rPr>
        <w:t>5.项目咨询：信息科陆先生 0772-5130087</w:t>
      </w:r>
    </w:p>
    <w:p w14:paraId="33FB7B3F">
      <w:pPr>
        <w:spacing w:line="360" w:lineRule="auto"/>
        <w:ind w:firstLine="422" w:firstLineChars="200"/>
        <w:rPr>
          <w:rFonts w:ascii="宋体" w:hAnsi="宋体" w:cs="宋体"/>
          <w:b/>
          <w:szCs w:val="21"/>
        </w:rPr>
      </w:pPr>
      <w:r>
        <w:rPr>
          <w:rFonts w:hint="eastAsia" w:ascii="宋体" w:hAnsi="宋体" w:cs="宋体"/>
          <w:b/>
          <w:szCs w:val="21"/>
        </w:rPr>
        <w:t>五、院内议价响应文件递交截止时间和地点：</w:t>
      </w:r>
    </w:p>
    <w:p w14:paraId="7EF86625">
      <w:pPr>
        <w:spacing w:line="360" w:lineRule="auto"/>
        <w:ind w:firstLine="420" w:firstLineChars="200"/>
        <w:rPr>
          <w:rFonts w:ascii="宋体" w:hAnsi="宋体" w:cs="宋体"/>
          <w:bCs/>
          <w:szCs w:val="21"/>
        </w:rPr>
      </w:pPr>
      <w:r>
        <w:rPr>
          <w:rFonts w:hint="eastAsia" w:ascii="宋体" w:hAnsi="宋体" w:cs="宋体"/>
          <w:bCs/>
          <w:szCs w:val="21"/>
        </w:rPr>
        <w:t>1.递交响应文件时间：2026年5月13日上午09:30-10:00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2.议价时间：2026年5月13日上午10:00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2026年5月7日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融水苗族自治县人民医院电脑、打印机等办公用品采购项目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2026年5月7日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3383C336">
      <w:pPr>
        <w:spacing w:line="420" w:lineRule="exact"/>
        <w:ind w:firstLine="420" w:firstLineChars="200"/>
        <w:rPr>
          <w:rFonts w:ascii="宋体" w:hAnsi="宋体" w:cs="宋体"/>
          <w:szCs w:val="21"/>
        </w:rPr>
      </w:pPr>
    </w:p>
    <w:p w14:paraId="06A73AAA">
      <w:pPr>
        <w:spacing w:line="420" w:lineRule="exact"/>
        <w:ind w:firstLine="420" w:firstLineChars="200"/>
        <w:rPr>
          <w:rFonts w:ascii="宋体" w:hAnsi="宋体" w:cs="宋体"/>
          <w:szCs w:val="21"/>
        </w:rPr>
      </w:pPr>
    </w:p>
    <w:p w14:paraId="38660D4C">
      <w:pPr>
        <w:spacing w:line="420" w:lineRule="exact"/>
        <w:ind w:firstLine="420" w:firstLineChars="200"/>
        <w:rPr>
          <w:rFonts w:ascii="宋体" w:hAnsi="宋体" w:cs="宋体"/>
          <w:szCs w:val="21"/>
        </w:rPr>
      </w:pPr>
    </w:p>
    <w:p w14:paraId="00C0DD98">
      <w:pPr>
        <w:spacing w:line="420" w:lineRule="exact"/>
        <w:ind w:firstLine="420" w:firstLineChars="200"/>
        <w:rPr>
          <w:rFonts w:ascii="宋体" w:hAnsi="宋体" w:cs="宋体"/>
          <w:szCs w:val="21"/>
        </w:rPr>
      </w:pPr>
    </w:p>
    <w:p w14:paraId="2C3E5C9A">
      <w:pPr>
        <w:spacing w:line="420" w:lineRule="exact"/>
        <w:ind w:firstLine="420" w:firstLineChars="200"/>
        <w:rPr>
          <w:rFonts w:ascii="宋体" w:hAnsi="宋体" w:cs="宋体"/>
          <w:szCs w:val="21"/>
        </w:rPr>
      </w:pPr>
    </w:p>
    <w:p w14:paraId="1319CEA3">
      <w:pPr>
        <w:spacing w:line="420" w:lineRule="exact"/>
        <w:ind w:firstLine="420" w:firstLineChars="200"/>
        <w:rPr>
          <w:rFonts w:ascii="宋体" w:hAnsi="宋体" w:cs="宋体"/>
          <w:szCs w:val="21"/>
        </w:rPr>
      </w:pPr>
    </w:p>
    <w:p w14:paraId="13DCEE08">
      <w:pPr>
        <w:spacing w:line="420" w:lineRule="exact"/>
        <w:ind w:firstLine="420" w:firstLineChars="200"/>
        <w:rPr>
          <w:rFonts w:ascii="宋体" w:hAnsi="宋体" w:cs="宋体"/>
          <w:szCs w:val="21"/>
        </w:rPr>
      </w:pPr>
    </w:p>
    <w:p w14:paraId="317903E3">
      <w:pPr>
        <w:spacing w:line="420" w:lineRule="exact"/>
        <w:ind w:firstLine="420" w:firstLineChars="200"/>
        <w:rPr>
          <w:rFonts w:ascii="宋体" w:hAnsi="宋体" w:cs="宋体"/>
          <w:szCs w:val="21"/>
        </w:rPr>
      </w:pPr>
    </w:p>
    <w:p w14:paraId="09A2BD28">
      <w:pPr>
        <w:spacing w:line="420" w:lineRule="exact"/>
        <w:rPr>
          <w:rFonts w:ascii="宋体" w:hAnsi="宋体" w:cs="宋体"/>
          <w:szCs w:val="21"/>
        </w:rPr>
      </w:pPr>
    </w:p>
    <w:p w14:paraId="79C6EEBF">
      <w:pPr>
        <w:widowControl/>
        <w:numPr>
          <w:ilvl w:val="0"/>
          <w:numId w:val="3"/>
        </w:numPr>
        <w:tabs>
          <w:tab w:val="left" w:pos="540"/>
        </w:tabs>
        <w:spacing w:line="420" w:lineRule="exact"/>
        <w:jc w:val="center"/>
        <w:outlineLvl w:val="0"/>
        <w:rPr>
          <w:rFonts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rPr>
        <w:t xml:space="preserve"> 项目需求</w:t>
      </w:r>
      <w:bookmarkEnd w:id="6"/>
    </w:p>
    <w:p w14:paraId="2748AB56">
      <w:pPr>
        <w:pStyle w:val="3"/>
        <w:keepNext w:val="0"/>
        <w:keepLines w:val="0"/>
        <w:widowControl/>
        <w:spacing w:before="0" w:after="0" w:line="360" w:lineRule="atLeast"/>
        <w:jc w:val="left"/>
        <w:rPr>
          <w:rFonts w:asciiTheme="minorEastAsia" w:hAnsiTheme="minorEastAsia" w:eastAsiaTheme="minorEastAsia" w:cstheme="minorEastAsia"/>
          <w:color w:val="000000"/>
          <w:sz w:val="21"/>
          <w:szCs w:val="21"/>
        </w:rPr>
      </w:pPr>
      <w:bookmarkStart w:id="7" w:name="_Toc16041"/>
      <w:r>
        <w:rPr>
          <w:rFonts w:hint="eastAsia" w:asciiTheme="minorEastAsia" w:hAnsiTheme="minorEastAsia" w:eastAsiaTheme="minorEastAsia" w:cstheme="minorEastAsia"/>
          <w:color w:val="000000"/>
          <w:sz w:val="21"/>
          <w:szCs w:val="21"/>
        </w:rPr>
        <w:t>一、项目概况</w:t>
      </w:r>
    </w:p>
    <w:p w14:paraId="6C212754">
      <w:pPr>
        <w:widowControl/>
        <w:spacing w:line="360" w:lineRule="atLeast"/>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为保障医院网络安全、业务稳定运行与数据安全，满足医院信息化系统、医疗设备联网、专线通信等高可靠、高安全防护需求，现对医院专线防火墙进行采购，确保设备性能、功能、服务满足医院日常运维与安全合规要求。</w:t>
      </w:r>
    </w:p>
    <w:p w14:paraId="46A6DDB7">
      <w:pPr>
        <w:pStyle w:val="3"/>
        <w:keepNext w:val="0"/>
        <w:keepLines w:val="0"/>
        <w:widowControl/>
        <w:spacing w:before="0" w:after="0" w:line="360" w:lineRule="atLeast"/>
        <w:jc w:val="left"/>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二、★核心性能参数（必须满足）</w:t>
      </w:r>
    </w:p>
    <w:p w14:paraId="27726C0E">
      <w:pPr>
        <w:widowControl/>
        <w:numPr>
          <w:ilvl w:val="0"/>
          <w:numId w:val="4"/>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吞吐与连接性能</w:t>
      </w:r>
    </w:p>
    <w:p w14:paraId="04D2CDE6">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网络层吞吐量≥</w:t>
      </w:r>
      <w:r>
        <w:rPr>
          <w:rStyle w:val="51"/>
          <w:rFonts w:hint="eastAsia" w:asciiTheme="minorEastAsia" w:hAnsiTheme="minorEastAsia" w:eastAsiaTheme="minorEastAsia" w:cstheme="minorEastAsia"/>
          <w:color w:val="000000"/>
          <w:szCs w:val="21"/>
        </w:rPr>
        <w:t>10G</w:t>
      </w:r>
    </w:p>
    <w:p w14:paraId="51C2AB5B">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应用层吞吐量≥</w:t>
      </w:r>
      <w:r>
        <w:rPr>
          <w:rStyle w:val="51"/>
          <w:rFonts w:hint="eastAsia" w:asciiTheme="minorEastAsia" w:hAnsiTheme="minorEastAsia" w:eastAsiaTheme="minorEastAsia" w:cstheme="minorEastAsia"/>
          <w:color w:val="000000"/>
          <w:szCs w:val="21"/>
        </w:rPr>
        <w:t>5G</w:t>
      </w:r>
    </w:p>
    <w:p w14:paraId="181D8F19">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防病毒吞吐量≥</w:t>
      </w:r>
      <w:r>
        <w:rPr>
          <w:rStyle w:val="51"/>
          <w:rFonts w:hint="eastAsia" w:asciiTheme="minorEastAsia" w:hAnsiTheme="minorEastAsia" w:eastAsiaTheme="minorEastAsia" w:cstheme="minorEastAsia"/>
          <w:color w:val="000000"/>
          <w:szCs w:val="21"/>
        </w:rPr>
        <w:t>1G</w:t>
      </w:r>
    </w:p>
    <w:p w14:paraId="216E7908">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IPS 吞吐量≥</w:t>
      </w:r>
      <w:r>
        <w:rPr>
          <w:rStyle w:val="51"/>
          <w:rFonts w:hint="eastAsia" w:asciiTheme="minorEastAsia" w:hAnsiTheme="minorEastAsia" w:eastAsiaTheme="minorEastAsia" w:cstheme="minorEastAsia"/>
          <w:color w:val="000000"/>
          <w:szCs w:val="21"/>
        </w:rPr>
        <w:t>1G</w:t>
      </w:r>
    </w:p>
    <w:p w14:paraId="7AC3E97F">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并发连接数≥</w:t>
      </w:r>
      <w:r>
        <w:rPr>
          <w:rStyle w:val="51"/>
          <w:rFonts w:hint="eastAsia" w:asciiTheme="minorEastAsia" w:hAnsiTheme="minorEastAsia" w:eastAsiaTheme="minorEastAsia" w:cstheme="minorEastAsia"/>
          <w:color w:val="000000"/>
          <w:szCs w:val="21"/>
        </w:rPr>
        <w:t>200 万</w:t>
      </w:r>
    </w:p>
    <w:p w14:paraId="20CF845C">
      <w:pPr>
        <w:widowControl/>
        <w:numPr>
          <w:ilvl w:val="1"/>
          <w:numId w:val="4"/>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HTTP 新建连接数≥</w:t>
      </w:r>
      <w:r>
        <w:rPr>
          <w:rStyle w:val="51"/>
          <w:rFonts w:hint="eastAsia" w:asciiTheme="minorEastAsia" w:hAnsiTheme="minorEastAsia" w:eastAsiaTheme="minorEastAsia" w:cstheme="minorEastAsia"/>
          <w:color w:val="000000"/>
          <w:szCs w:val="21"/>
        </w:rPr>
        <w:t>6 万</w:t>
      </w:r>
    </w:p>
    <w:p w14:paraId="10D14574">
      <w:pPr>
        <w:widowControl/>
        <w:numPr>
          <w:ilvl w:val="0"/>
          <w:numId w:val="4"/>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硬件配置</w:t>
      </w:r>
    </w:p>
    <w:p w14:paraId="200DDC34">
      <w:pPr>
        <w:widowControl/>
        <w:numPr>
          <w:ilvl w:val="1"/>
          <w:numId w:val="5"/>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采用</w:t>
      </w:r>
      <w:r>
        <w:rPr>
          <w:rStyle w:val="51"/>
          <w:rFonts w:hint="eastAsia" w:asciiTheme="minorEastAsia" w:hAnsiTheme="minorEastAsia" w:eastAsiaTheme="minorEastAsia" w:cstheme="minorEastAsia"/>
          <w:color w:val="000000"/>
          <w:szCs w:val="21"/>
        </w:rPr>
        <w:t>多核并行处理架构</w:t>
      </w:r>
    </w:p>
    <w:p w14:paraId="407F8BF5">
      <w:pPr>
        <w:widowControl/>
        <w:numPr>
          <w:ilvl w:val="1"/>
          <w:numId w:val="5"/>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内存≥</w:t>
      </w:r>
      <w:r>
        <w:rPr>
          <w:rStyle w:val="51"/>
          <w:rFonts w:hint="eastAsia" w:asciiTheme="minorEastAsia" w:hAnsiTheme="minorEastAsia" w:eastAsiaTheme="minorEastAsia" w:cstheme="minorEastAsia"/>
          <w:color w:val="000000"/>
          <w:szCs w:val="21"/>
        </w:rPr>
        <w:t>8G</w:t>
      </w:r>
    </w:p>
    <w:p w14:paraId="6C564343">
      <w:pPr>
        <w:widowControl/>
        <w:numPr>
          <w:ilvl w:val="1"/>
          <w:numId w:val="5"/>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硬盘≥</w:t>
      </w:r>
      <w:r>
        <w:rPr>
          <w:rStyle w:val="51"/>
          <w:rFonts w:hint="eastAsia" w:asciiTheme="minorEastAsia" w:hAnsiTheme="minorEastAsia" w:eastAsiaTheme="minorEastAsia" w:cstheme="minorEastAsia"/>
          <w:color w:val="000000"/>
          <w:szCs w:val="21"/>
        </w:rPr>
        <w:t>128G SSD</w:t>
      </w:r>
    </w:p>
    <w:p w14:paraId="4FD2C1E3">
      <w:pPr>
        <w:widowControl/>
        <w:numPr>
          <w:ilvl w:val="1"/>
          <w:numId w:val="5"/>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接口：≥</w:t>
      </w:r>
      <w:r>
        <w:rPr>
          <w:rStyle w:val="51"/>
          <w:rFonts w:hint="eastAsia" w:asciiTheme="minorEastAsia" w:hAnsiTheme="minorEastAsia" w:eastAsiaTheme="minorEastAsia" w:cstheme="minorEastAsia"/>
          <w:color w:val="000000"/>
          <w:szCs w:val="21"/>
        </w:rPr>
        <w:t>12 千兆电口</w:t>
      </w:r>
      <w:r>
        <w:rPr>
          <w:rFonts w:hint="eastAsia" w:asciiTheme="minorEastAsia" w:hAnsiTheme="minorEastAsia" w:eastAsiaTheme="minorEastAsia" w:cstheme="minorEastAsia"/>
          <w:color w:val="000000"/>
          <w:szCs w:val="21"/>
        </w:rPr>
        <w:t>、≥</w:t>
      </w:r>
      <w:r>
        <w:rPr>
          <w:rStyle w:val="51"/>
          <w:rFonts w:hint="eastAsia" w:asciiTheme="minorEastAsia" w:hAnsiTheme="minorEastAsia" w:eastAsiaTheme="minorEastAsia" w:cstheme="minorEastAsia"/>
          <w:color w:val="000000"/>
          <w:szCs w:val="21"/>
        </w:rPr>
        <w:t>4 千兆光口</w:t>
      </w:r>
      <w:r>
        <w:rPr>
          <w:rFonts w:hint="eastAsia" w:asciiTheme="minorEastAsia" w:hAnsiTheme="minorEastAsia" w:eastAsiaTheme="minorEastAsia" w:cstheme="minorEastAsia"/>
          <w:color w:val="000000"/>
          <w:szCs w:val="21"/>
        </w:rPr>
        <w:t>、≥</w:t>
      </w:r>
      <w:r>
        <w:rPr>
          <w:rStyle w:val="51"/>
          <w:rFonts w:hint="eastAsia" w:asciiTheme="minorEastAsia" w:hAnsiTheme="minorEastAsia" w:eastAsiaTheme="minorEastAsia" w:cstheme="minorEastAsia"/>
          <w:color w:val="000000"/>
          <w:szCs w:val="21"/>
        </w:rPr>
        <w:t>2 万兆光口（SFP+）</w:t>
      </w:r>
    </w:p>
    <w:p w14:paraId="5EF2082C">
      <w:pPr>
        <w:widowControl/>
        <w:numPr>
          <w:ilvl w:val="0"/>
          <w:numId w:val="4"/>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安全与服务</w:t>
      </w:r>
    </w:p>
    <w:p w14:paraId="450B435B">
      <w:pPr>
        <w:widowControl/>
        <w:numPr>
          <w:ilvl w:val="1"/>
          <w:numId w:val="6"/>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具备</w:t>
      </w:r>
      <w:r>
        <w:rPr>
          <w:rStyle w:val="51"/>
          <w:rFonts w:hint="eastAsia" w:asciiTheme="minorEastAsia" w:hAnsiTheme="minorEastAsia" w:eastAsiaTheme="minorEastAsia" w:cstheme="minorEastAsia"/>
          <w:color w:val="000000"/>
          <w:szCs w:val="21"/>
        </w:rPr>
        <w:t>威胁情报</w:t>
      </w:r>
      <w:r>
        <w:rPr>
          <w:rFonts w:hint="eastAsia" w:asciiTheme="minorEastAsia" w:hAnsiTheme="minorEastAsia" w:eastAsiaTheme="minorEastAsia" w:cstheme="minorEastAsia"/>
          <w:color w:val="000000"/>
          <w:szCs w:val="21"/>
        </w:rPr>
        <w:t>与</w:t>
      </w:r>
      <w:r>
        <w:rPr>
          <w:rStyle w:val="51"/>
          <w:rFonts w:hint="eastAsia" w:asciiTheme="minorEastAsia" w:hAnsiTheme="minorEastAsia" w:eastAsiaTheme="minorEastAsia" w:cstheme="minorEastAsia"/>
          <w:color w:val="000000"/>
          <w:szCs w:val="21"/>
        </w:rPr>
        <w:t>Web 应用防护</w:t>
      </w:r>
      <w:r>
        <w:rPr>
          <w:rFonts w:hint="eastAsia" w:asciiTheme="minorEastAsia" w:hAnsiTheme="minorEastAsia" w:eastAsiaTheme="minorEastAsia" w:cstheme="minorEastAsia"/>
          <w:color w:val="000000"/>
          <w:szCs w:val="21"/>
        </w:rPr>
        <w:t>能力</w:t>
      </w:r>
    </w:p>
    <w:p w14:paraId="493235A8">
      <w:pPr>
        <w:widowControl/>
        <w:numPr>
          <w:ilvl w:val="1"/>
          <w:numId w:val="6"/>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提供</w:t>
      </w:r>
      <w:r>
        <w:t>不少于3年产品硬件质保及软件特征库升级服务</w:t>
      </w:r>
      <w:r>
        <w:rPr>
          <w:rFonts w:hint="eastAsia"/>
        </w:rPr>
        <w:t>。</w:t>
      </w:r>
    </w:p>
    <w:p w14:paraId="675FCE9F">
      <w:pPr>
        <w:pStyle w:val="3"/>
        <w:keepNext w:val="0"/>
        <w:keepLines w:val="0"/>
        <w:widowControl/>
        <w:spacing w:before="0" w:after="0" w:line="360" w:lineRule="atLeast"/>
        <w:jc w:val="left"/>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三、功能参数要求</w:t>
      </w:r>
    </w:p>
    <w:p w14:paraId="3D996568">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部署模式</w:t>
      </w:r>
      <w:r>
        <w:rPr>
          <w:rFonts w:hint="eastAsia" w:asciiTheme="minorEastAsia" w:hAnsiTheme="minorEastAsia" w:eastAsiaTheme="minorEastAsia" w:cstheme="minorEastAsia"/>
          <w:color w:val="000000"/>
          <w:szCs w:val="21"/>
        </w:rPr>
        <w:t>支持路由、透明、虚拟网线、旁路镜像等多种部署方式。</w:t>
      </w:r>
    </w:p>
    <w:p w14:paraId="414D4A97">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链路检测</w:t>
      </w:r>
      <w:r>
        <w:rPr>
          <w:rFonts w:hint="eastAsia" w:asciiTheme="minorEastAsia" w:hAnsiTheme="minorEastAsia" w:eastAsiaTheme="minorEastAsia" w:cstheme="minorEastAsia"/>
          <w:color w:val="000000"/>
          <w:szCs w:val="21"/>
        </w:rPr>
        <w:t>支持基于</w:t>
      </w:r>
      <w:r>
        <w:rPr>
          <w:rStyle w:val="51"/>
          <w:rFonts w:hint="eastAsia" w:asciiTheme="minorEastAsia" w:hAnsiTheme="minorEastAsia" w:eastAsiaTheme="minorEastAsia" w:cstheme="minorEastAsia"/>
          <w:color w:val="000000"/>
          <w:szCs w:val="21"/>
        </w:rPr>
        <w:t>DNS、ARP、PING、BFD</w:t>
      </w:r>
      <w:r>
        <w:rPr>
          <w:rFonts w:hint="eastAsia" w:asciiTheme="minorEastAsia" w:hAnsiTheme="minorEastAsia" w:eastAsiaTheme="minorEastAsia" w:cstheme="minorEastAsia"/>
          <w:color w:val="000000"/>
          <w:szCs w:val="21"/>
        </w:rPr>
        <w:t>等 3 种以上协议的链路连通性探测。</w:t>
      </w:r>
    </w:p>
    <w:p w14:paraId="5757F2DA">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策略路由</w:t>
      </w:r>
      <w:r>
        <w:rPr>
          <w:rFonts w:hint="eastAsia" w:asciiTheme="minorEastAsia" w:hAnsiTheme="minorEastAsia" w:eastAsiaTheme="minorEastAsia" w:cstheme="minorEastAsia"/>
          <w:color w:val="000000"/>
          <w:szCs w:val="21"/>
        </w:rPr>
        <w:t>支持按路由类型、协议、网络对象、国家地区等条件自动选路；支持</w:t>
      </w:r>
      <w:r>
        <w:rPr>
          <w:rStyle w:val="51"/>
          <w:rFonts w:hint="eastAsia" w:asciiTheme="minorEastAsia" w:hAnsiTheme="minorEastAsia" w:eastAsiaTheme="minorEastAsia" w:cstheme="minorEastAsia"/>
          <w:color w:val="000000"/>
          <w:szCs w:val="21"/>
        </w:rPr>
        <w:t>带宽比例、加权流量、线路优先</w:t>
      </w:r>
      <w:r>
        <w:rPr>
          <w:rFonts w:hint="eastAsia" w:asciiTheme="minorEastAsia" w:hAnsiTheme="minorEastAsia" w:eastAsiaTheme="minorEastAsia" w:cstheme="minorEastAsia"/>
          <w:color w:val="000000"/>
          <w:szCs w:val="21"/>
        </w:rPr>
        <w:t>等 3 种以上调度算法。</w:t>
      </w:r>
    </w:p>
    <w:p w14:paraId="1AD257BA">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地址转换</w:t>
      </w:r>
      <w:r>
        <w:rPr>
          <w:rFonts w:hint="eastAsia" w:asciiTheme="minorEastAsia" w:hAnsiTheme="minorEastAsia" w:eastAsiaTheme="minorEastAsia" w:cstheme="minorEastAsia"/>
          <w:color w:val="000000"/>
          <w:szCs w:val="21"/>
        </w:rPr>
        <w:t>支持多对一、一对多、一对一等多种 NAT 转换方式。</w:t>
      </w:r>
    </w:p>
    <w:p w14:paraId="7B5ED72E">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VPN 功能</w:t>
      </w:r>
      <w:r>
        <w:rPr>
          <w:rFonts w:hint="eastAsia" w:asciiTheme="minorEastAsia" w:hAnsiTheme="minorEastAsia" w:eastAsiaTheme="minorEastAsia" w:cstheme="minorEastAsia"/>
          <w:color w:val="000000"/>
          <w:szCs w:val="21"/>
        </w:rPr>
        <w:t>支持 IPsec VPN、SSL VPN；支持 IPsec VPN 智能选路与线路自动切换。</w:t>
      </w:r>
    </w:p>
    <w:p w14:paraId="0EEE68B1">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用户认证</w:t>
      </w:r>
      <w:r>
        <w:rPr>
          <w:rFonts w:hint="eastAsia" w:asciiTheme="minorEastAsia" w:hAnsiTheme="minorEastAsia" w:eastAsiaTheme="minorEastAsia" w:cstheme="minorEastAsia"/>
          <w:color w:val="000000"/>
          <w:szCs w:val="21"/>
        </w:rPr>
        <w:t>支持</w:t>
      </w:r>
      <w:r>
        <w:rPr>
          <w:rStyle w:val="51"/>
          <w:rFonts w:hint="eastAsia" w:asciiTheme="minorEastAsia" w:hAnsiTheme="minorEastAsia" w:eastAsiaTheme="minorEastAsia" w:cstheme="minorEastAsia"/>
          <w:color w:val="000000"/>
          <w:szCs w:val="21"/>
        </w:rPr>
        <w:t>单点登录、本地账号密码、外部账号密码</w:t>
      </w:r>
      <w:r>
        <w:rPr>
          <w:rFonts w:hint="eastAsia" w:asciiTheme="minorEastAsia" w:hAnsiTheme="minorEastAsia" w:eastAsiaTheme="minorEastAsia" w:cstheme="minorEastAsia"/>
          <w:color w:val="000000"/>
          <w:szCs w:val="21"/>
        </w:rPr>
        <w:t>等 3 种以上认证方式。</w:t>
      </w:r>
    </w:p>
    <w:p w14:paraId="66A8BF00">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应用控制</w:t>
      </w:r>
      <w:r>
        <w:rPr>
          <w:rFonts w:hint="eastAsia" w:asciiTheme="minorEastAsia" w:hAnsiTheme="minorEastAsia" w:eastAsiaTheme="minorEastAsia" w:cstheme="minorEastAsia"/>
          <w:color w:val="000000"/>
          <w:szCs w:val="21"/>
        </w:rPr>
        <w:t>可识别管控 **≥9000 种应用 **，覆盖游戏、购物、P2P、聊天、股票、办公等类型。</w:t>
      </w:r>
    </w:p>
    <w:p w14:paraId="3E284A70">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流量管控</w:t>
      </w:r>
      <w:r>
        <w:rPr>
          <w:rFonts w:hint="eastAsia" w:asciiTheme="minorEastAsia" w:hAnsiTheme="minorEastAsia" w:eastAsiaTheme="minorEastAsia" w:cstheme="minorEastAsia"/>
          <w:color w:val="000000"/>
          <w:szCs w:val="21"/>
        </w:rPr>
        <w:t>支持按</w:t>
      </w:r>
      <w:r>
        <w:rPr>
          <w:rStyle w:val="51"/>
          <w:rFonts w:hint="eastAsia" w:asciiTheme="minorEastAsia" w:hAnsiTheme="minorEastAsia" w:eastAsiaTheme="minorEastAsia" w:cstheme="minorEastAsia"/>
          <w:color w:val="000000"/>
          <w:szCs w:val="21"/>
        </w:rPr>
        <w:t>IP、用户、应用、时间</w:t>
      </w:r>
      <w:r>
        <w:rPr>
          <w:rFonts w:hint="eastAsia" w:asciiTheme="minorEastAsia" w:hAnsiTheme="minorEastAsia" w:eastAsiaTheme="minorEastAsia" w:cstheme="minorEastAsia"/>
          <w:color w:val="000000"/>
          <w:szCs w:val="21"/>
        </w:rPr>
        <w:t>多维度流量控制，保障关键业务带宽。</w:t>
      </w:r>
    </w:p>
    <w:p w14:paraId="7B062A3D">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DDoS 防护</w:t>
      </w:r>
      <w:r>
        <w:rPr>
          <w:rFonts w:hint="eastAsia" w:asciiTheme="minorEastAsia" w:hAnsiTheme="minorEastAsia" w:eastAsiaTheme="minorEastAsia" w:cstheme="minorEastAsia"/>
          <w:color w:val="000000"/>
          <w:szCs w:val="21"/>
        </w:rPr>
        <w:t>支持对 ICMP、UDP、DNS、SYN 等协议的 DDoS 攻击防护。</w:t>
      </w:r>
    </w:p>
    <w:p w14:paraId="3CADCECA">
      <w:pPr>
        <w:widowControl/>
        <w:numPr>
          <w:ilvl w:val="0"/>
          <w:numId w:val="7"/>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HTTPS 解密</w:t>
      </w:r>
      <w:r>
        <w:rPr>
          <w:rFonts w:hint="eastAsia" w:asciiTheme="minorEastAsia" w:hAnsiTheme="minorEastAsia" w:eastAsiaTheme="minorEastAsia" w:cstheme="minorEastAsia"/>
          <w:color w:val="000000"/>
          <w:szCs w:val="21"/>
        </w:rPr>
        <w:t>支持 HTTPS 解密，具备 TCP 代理、SSL 代理能力。</w:t>
      </w:r>
    </w:p>
    <w:p w14:paraId="2A322A5C">
      <w:pPr>
        <w:pStyle w:val="3"/>
        <w:keepNext w:val="0"/>
        <w:keepLines w:val="0"/>
        <w:widowControl/>
        <w:spacing w:before="0" w:after="0" w:line="360" w:lineRule="atLeast"/>
        <w:jc w:val="left"/>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四、★关键安全功能（必须满足，需提供截图并加盖公章）</w:t>
      </w:r>
    </w:p>
    <w:p w14:paraId="666F4144">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病毒防护</w:t>
      </w:r>
      <w:r>
        <w:rPr>
          <w:rFonts w:hint="eastAsia" w:asciiTheme="minorEastAsia" w:hAnsiTheme="minorEastAsia" w:eastAsiaTheme="minorEastAsia" w:cstheme="minorEastAsia"/>
          <w:color w:val="000000"/>
          <w:szCs w:val="21"/>
        </w:rPr>
        <w:t>支持</w:t>
      </w:r>
      <w:r>
        <w:rPr>
          <w:rStyle w:val="51"/>
          <w:rFonts w:hint="eastAsia" w:asciiTheme="minorEastAsia" w:hAnsiTheme="minorEastAsia" w:eastAsiaTheme="minorEastAsia" w:cstheme="minorEastAsia"/>
          <w:color w:val="000000"/>
          <w:szCs w:val="21"/>
        </w:rPr>
        <w:t>15 层及以上压缩病毒文件</w:t>
      </w:r>
      <w:r>
        <w:rPr>
          <w:rFonts w:hint="eastAsia" w:asciiTheme="minorEastAsia" w:hAnsiTheme="minorEastAsia" w:eastAsiaTheme="minorEastAsia" w:cstheme="minorEastAsia"/>
          <w:color w:val="000000"/>
          <w:szCs w:val="21"/>
        </w:rPr>
        <w:t>检测拦截。</w:t>
      </w:r>
    </w:p>
    <w:p w14:paraId="0ABE2C9D">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IPS 防护</w:t>
      </w:r>
      <w:r>
        <w:rPr>
          <w:rFonts w:hint="eastAsia" w:asciiTheme="minorEastAsia" w:hAnsiTheme="minorEastAsia" w:eastAsiaTheme="minorEastAsia" w:cstheme="minorEastAsia"/>
          <w:color w:val="000000"/>
          <w:szCs w:val="21"/>
        </w:rPr>
        <w:t>内置 **≥13800 种漏洞规则 **，支持按 ID、名称、等级、CVE 查询，支持自定义 IPS 规则。</w:t>
      </w:r>
    </w:p>
    <w:p w14:paraId="7CA075A2">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僵尸网络检测</w:t>
      </w:r>
      <w:r>
        <w:rPr>
          <w:rFonts w:hint="eastAsia" w:asciiTheme="minorEastAsia" w:hAnsiTheme="minorEastAsia" w:eastAsiaTheme="minorEastAsia" w:cstheme="minorEastAsia"/>
          <w:color w:val="000000"/>
          <w:szCs w:val="21"/>
        </w:rPr>
        <w:t>内置 **≥120 万种 ** 僵尸网络特征库，识别异常外联。</w:t>
      </w:r>
    </w:p>
    <w:p w14:paraId="3029EE4E">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Web 应用防护</w:t>
      </w:r>
      <w:r>
        <w:rPr>
          <w:rFonts w:hint="eastAsia" w:asciiTheme="minorEastAsia" w:hAnsiTheme="minorEastAsia" w:eastAsiaTheme="minorEastAsia" w:cstheme="minorEastAsia"/>
          <w:color w:val="000000"/>
          <w:szCs w:val="21"/>
        </w:rPr>
        <w:t>内置 **≥4500 种 **Web 攻击特征，防护 XSS、SQL 注入、文件包含、Webshell、网站扫描、网页木马等。</w:t>
      </w:r>
    </w:p>
    <w:p w14:paraId="34966398">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账号安全</w:t>
      </w:r>
      <w:r>
        <w:rPr>
          <w:rFonts w:hint="eastAsia" w:asciiTheme="minorEastAsia" w:hAnsiTheme="minorEastAsia" w:eastAsiaTheme="minorEastAsia" w:cstheme="minorEastAsia"/>
          <w:color w:val="000000"/>
          <w:szCs w:val="21"/>
        </w:rPr>
        <w:t>支持账号全生命周期保护：多余入口检测、弱口令检测、暴力破解检测、失陷账号检测。</w:t>
      </w:r>
    </w:p>
    <w:p w14:paraId="77E839BE">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混合资产识别</w:t>
      </w:r>
      <w:r>
        <w:rPr>
          <w:rFonts w:hint="eastAsia" w:asciiTheme="minorEastAsia" w:hAnsiTheme="minorEastAsia" w:eastAsiaTheme="minorEastAsia" w:cstheme="minorEastAsia"/>
          <w:color w:val="000000"/>
          <w:szCs w:val="21"/>
        </w:rPr>
        <w:t>可识别</w:t>
      </w:r>
      <w:r>
        <w:rPr>
          <w:rStyle w:val="51"/>
          <w:rFonts w:hint="eastAsia" w:asciiTheme="minorEastAsia" w:hAnsiTheme="minorEastAsia" w:eastAsiaTheme="minorEastAsia" w:cstheme="minorEastAsia"/>
          <w:color w:val="000000"/>
          <w:szCs w:val="21"/>
        </w:rPr>
        <w:t>IT+OT+IoT 混合资产</w:t>
      </w:r>
      <w:r>
        <w:rPr>
          <w:rFonts w:hint="eastAsia" w:asciiTheme="minorEastAsia" w:hAnsiTheme="minorEastAsia" w:eastAsiaTheme="minorEastAsia" w:cstheme="minorEastAsia"/>
          <w:color w:val="000000"/>
          <w:szCs w:val="21"/>
        </w:rPr>
        <w:t>，自动获取 IP、MAC、系统、厂商、类型信息：</w:t>
      </w:r>
    </w:p>
    <w:p w14:paraId="003E2E30">
      <w:pPr>
        <w:widowControl/>
        <w:numPr>
          <w:ilvl w:val="1"/>
          <w:numId w:val="9"/>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IT 资产：PC、瘦客户机、手机、平板、交换机、路由器、防火墙、服务器等</w:t>
      </w:r>
    </w:p>
    <w:p w14:paraId="510B9AAF">
      <w:pPr>
        <w:widowControl/>
        <w:numPr>
          <w:ilvl w:val="1"/>
          <w:numId w:val="9"/>
        </w:numPr>
        <w:tabs>
          <w:tab w:val="left" w:pos="1440"/>
        </w:tabs>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IoT / 医疗资产：摄像头、门禁、打印机、呼吸机、监护仪、心电图仪、医学影像设备、放射系统等</w:t>
      </w:r>
    </w:p>
    <w:p w14:paraId="6194971E">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主动诱捕</w:t>
      </w:r>
      <w:r>
        <w:rPr>
          <w:rFonts w:hint="eastAsia" w:asciiTheme="minorEastAsia" w:hAnsiTheme="minorEastAsia" w:eastAsiaTheme="minorEastAsia" w:cstheme="minorEastAsia"/>
          <w:color w:val="000000"/>
          <w:szCs w:val="21"/>
        </w:rPr>
        <w:t>支持扩展主动诱捕，伪装业务捕获攻击，联合云蜜罐获取黑客指纹，自动封锁高危 IP。</w:t>
      </w:r>
    </w:p>
    <w:p w14:paraId="616A6495">
      <w:pPr>
        <w:widowControl/>
        <w:numPr>
          <w:ilvl w:val="0"/>
          <w:numId w:val="8"/>
        </w:numPr>
        <w:spacing w:line="360" w:lineRule="atLeast"/>
        <w:ind w:left="0"/>
        <w:jc w:val="left"/>
        <w:rPr>
          <w:rFonts w:asciiTheme="minorEastAsia" w:hAnsiTheme="minorEastAsia" w:eastAsiaTheme="minorEastAsia" w:cstheme="minorEastAsia"/>
          <w:color w:val="000000"/>
          <w:szCs w:val="21"/>
        </w:rPr>
      </w:pPr>
      <w:r>
        <w:rPr>
          <w:rStyle w:val="51"/>
          <w:rFonts w:hint="eastAsia" w:asciiTheme="minorEastAsia" w:hAnsiTheme="minorEastAsia" w:eastAsiaTheme="minorEastAsia" w:cstheme="minorEastAsia"/>
          <w:color w:val="000000"/>
          <w:szCs w:val="21"/>
        </w:rPr>
        <w:t>策略管理</w:t>
      </w:r>
      <w:r>
        <w:rPr>
          <w:rFonts w:hint="eastAsia" w:asciiTheme="minorEastAsia" w:hAnsiTheme="minorEastAsia" w:eastAsiaTheme="minorEastAsia" w:cstheme="minorEastAsia"/>
          <w:color w:val="000000"/>
          <w:szCs w:val="21"/>
        </w:rPr>
        <w:t>支持安全策略生命周期管理，记录修改时间、原因、变更类型，便于运维审计。</w:t>
      </w:r>
    </w:p>
    <w:p w14:paraId="12C20288">
      <w:pPr>
        <w:pStyle w:val="3"/>
        <w:keepNext w:val="0"/>
        <w:keepLines w:val="0"/>
        <w:widowControl/>
        <w:spacing w:before="0" w:after="0" w:line="360" w:lineRule="atLeast"/>
        <w:jc w:val="left"/>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五、服务与交付要求</w:t>
      </w:r>
    </w:p>
    <w:p w14:paraId="336E03D9">
      <w:pPr>
        <w:widowControl/>
        <w:numPr>
          <w:ilvl w:val="0"/>
          <w:numId w:val="10"/>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中标方负责设备</w:t>
      </w:r>
      <w:r>
        <w:rPr>
          <w:rStyle w:val="51"/>
          <w:rFonts w:hint="eastAsia" w:asciiTheme="minorEastAsia" w:hAnsiTheme="minorEastAsia" w:eastAsiaTheme="minorEastAsia" w:cstheme="minorEastAsia"/>
          <w:color w:val="000000"/>
          <w:szCs w:val="21"/>
        </w:rPr>
        <w:t>送货、安装、调试、割接上线</w:t>
      </w:r>
      <w:r>
        <w:rPr>
          <w:rFonts w:hint="eastAsia" w:asciiTheme="minorEastAsia" w:hAnsiTheme="minorEastAsia" w:eastAsiaTheme="minorEastAsia" w:cstheme="minorEastAsia"/>
          <w:color w:val="000000"/>
          <w:szCs w:val="21"/>
        </w:rPr>
        <w:t>，保障医院业务不中断。</w:t>
      </w:r>
    </w:p>
    <w:p w14:paraId="36EA81A2">
      <w:pPr>
        <w:widowControl/>
        <w:numPr>
          <w:ilvl w:val="0"/>
          <w:numId w:val="10"/>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提供</w:t>
      </w:r>
      <w:r>
        <w:rPr>
          <w:rStyle w:val="51"/>
          <w:rFonts w:hint="eastAsia" w:asciiTheme="minorEastAsia" w:hAnsiTheme="minorEastAsia" w:eastAsiaTheme="minorEastAsia" w:cstheme="minorEastAsia"/>
          <w:color w:val="000000"/>
          <w:szCs w:val="21"/>
        </w:rPr>
        <w:t>3 年硬件质保</w:t>
      </w:r>
      <w:r>
        <w:rPr>
          <w:rFonts w:hint="eastAsia" w:asciiTheme="minorEastAsia" w:hAnsiTheme="minorEastAsia" w:eastAsiaTheme="minorEastAsia" w:cstheme="minorEastAsia"/>
          <w:color w:val="000000"/>
          <w:szCs w:val="21"/>
        </w:rPr>
        <w:t>与</w:t>
      </w:r>
      <w:r>
        <w:rPr>
          <w:rStyle w:val="51"/>
          <w:rFonts w:hint="eastAsia" w:asciiTheme="minorEastAsia" w:hAnsiTheme="minorEastAsia" w:eastAsiaTheme="minorEastAsia" w:cstheme="minorEastAsia"/>
          <w:color w:val="000000"/>
          <w:szCs w:val="21"/>
        </w:rPr>
        <w:t>特征库升级</w:t>
      </w:r>
      <w:r>
        <w:rPr>
          <w:rFonts w:hint="eastAsia" w:asciiTheme="minorEastAsia" w:hAnsiTheme="minorEastAsia" w:eastAsiaTheme="minorEastAsia" w:cstheme="minorEastAsia"/>
          <w:color w:val="000000"/>
          <w:szCs w:val="21"/>
        </w:rPr>
        <w:t>，7×24 小时技术支持。</w:t>
      </w:r>
    </w:p>
    <w:p w14:paraId="77F0B70B">
      <w:pPr>
        <w:widowControl/>
        <w:numPr>
          <w:ilvl w:val="0"/>
          <w:numId w:val="10"/>
        </w:numPr>
        <w:spacing w:line="360" w:lineRule="atLeast"/>
        <w:ind w:left="0"/>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交付时提供产品说明书、合格证、售后承诺、资质文件及需求中要求的截图证明材料。</w:t>
      </w:r>
    </w:p>
    <w:p w14:paraId="2BE8B697">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222EDC68">
      <w:pPr>
        <w:ind w:firstLine="2249" w:firstLineChars="700"/>
        <w:outlineLvl w:val="0"/>
        <w:rPr>
          <w:rFonts w:ascii="宋体" w:hAnsi="宋体" w:cs="宋体"/>
          <w:b/>
          <w:sz w:val="32"/>
        </w:rPr>
      </w:pPr>
    </w:p>
    <w:p w14:paraId="4DF89311">
      <w:pPr>
        <w:ind w:firstLine="2249" w:firstLineChars="700"/>
        <w:outlineLvl w:val="0"/>
        <w:rPr>
          <w:rFonts w:ascii="宋体" w:hAnsi="宋体" w:cs="宋体"/>
          <w:b/>
          <w:sz w:val="32"/>
        </w:rPr>
      </w:pPr>
    </w:p>
    <w:p w14:paraId="6FDB929D">
      <w:pPr>
        <w:ind w:firstLine="2249" w:firstLineChars="700"/>
        <w:outlineLvl w:val="0"/>
        <w:rPr>
          <w:rFonts w:ascii="宋体" w:hAnsi="宋体" w:cs="宋体"/>
          <w:b/>
          <w:sz w:val="32"/>
        </w:rPr>
      </w:pPr>
    </w:p>
    <w:p w14:paraId="6ADB106A">
      <w:pPr>
        <w:ind w:firstLine="2249" w:firstLineChars="700"/>
        <w:outlineLvl w:val="0"/>
        <w:rPr>
          <w:rFonts w:ascii="宋体" w:hAnsi="宋体" w:cs="宋体"/>
          <w:b/>
          <w:sz w:val="32"/>
        </w:rPr>
      </w:pPr>
    </w:p>
    <w:p w14:paraId="00390757">
      <w:pPr>
        <w:ind w:firstLine="2249" w:firstLineChars="700"/>
        <w:outlineLvl w:val="0"/>
        <w:rPr>
          <w:rFonts w:ascii="宋体" w:hAnsi="宋体" w:cs="宋体"/>
          <w:b/>
          <w:sz w:val="32"/>
        </w:rPr>
      </w:pPr>
    </w:p>
    <w:p w14:paraId="276E9B49">
      <w:pPr>
        <w:ind w:firstLine="2249" w:firstLineChars="700"/>
        <w:outlineLvl w:val="0"/>
        <w:rPr>
          <w:rFonts w:ascii="宋体" w:hAnsi="宋体" w:cs="宋体"/>
          <w:b/>
          <w:sz w:val="32"/>
        </w:rPr>
      </w:pPr>
    </w:p>
    <w:p w14:paraId="758138FC">
      <w:pPr>
        <w:ind w:firstLine="2249" w:firstLineChars="700"/>
        <w:outlineLvl w:val="0"/>
        <w:rPr>
          <w:rFonts w:ascii="宋体" w:hAnsi="宋体" w:cs="宋体"/>
          <w:b/>
          <w:sz w:val="32"/>
        </w:rPr>
      </w:pPr>
    </w:p>
    <w:p w14:paraId="78E4F4C4">
      <w:pPr>
        <w:ind w:firstLine="2249" w:firstLineChars="700"/>
        <w:outlineLvl w:val="0"/>
        <w:rPr>
          <w:rFonts w:ascii="宋体" w:hAnsi="宋体" w:cs="宋体"/>
          <w:b/>
          <w:sz w:val="32"/>
        </w:rPr>
      </w:pPr>
    </w:p>
    <w:p w14:paraId="4547E151">
      <w:pPr>
        <w:ind w:firstLine="2249" w:firstLineChars="700"/>
        <w:outlineLvl w:val="0"/>
        <w:rPr>
          <w:rFonts w:ascii="宋体" w:hAnsi="宋体" w:cs="宋体"/>
          <w:b/>
          <w:sz w:val="32"/>
        </w:rPr>
      </w:pPr>
    </w:p>
    <w:p w14:paraId="588324A3">
      <w:pPr>
        <w:ind w:firstLine="2249" w:firstLineChars="700"/>
        <w:outlineLvl w:val="0"/>
        <w:rPr>
          <w:rFonts w:ascii="宋体" w:hAnsi="宋体" w:cs="宋体"/>
          <w:b/>
          <w:sz w:val="32"/>
        </w:rPr>
      </w:pPr>
    </w:p>
    <w:p w14:paraId="6E6839E3">
      <w:pPr>
        <w:ind w:firstLine="2249" w:firstLineChars="700"/>
        <w:outlineLvl w:val="0"/>
        <w:rPr>
          <w:rFonts w:ascii="宋体" w:hAnsi="宋体" w:cs="宋体"/>
          <w:b/>
          <w:sz w:val="32"/>
        </w:rPr>
      </w:pPr>
    </w:p>
    <w:p w14:paraId="4CBA6D8F">
      <w:pPr>
        <w:ind w:firstLine="2249" w:firstLineChars="700"/>
        <w:outlineLvl w:val="0"/>
        <w:rPr>
          <w:rFonts w:ascii="宋体" w:hAnsi="宋体" w:cs="宋体"/>
          <w:b/>
          <w:sz w:val="32"/>
        </w:rPr>
      </w:pPr>
    </w:p>
    <w:p w14:paraId="5728E0B6">
      <w:pPr>
        <w:ind w:firstLine="2249" w:firstLineChars="700"/>
        <w:outlineLvl w:val="0"/>
        <w:rPr>
          <w:rFonts w:ascii="宋体" w:hAnsi="宋体" w:cs="宋体"/>
          <w:b/>
          <w:sz w:val="32"/>
        </w:rPr>
      </w:pPr>
    </w:p>
    <w:p w14:paraId="57845781">
      <w:pPr>
        <w:ind w:firstLine="2249" w:firstLineChars="700"/>
        <w:outlineLvl w:val="0"/>
        <w:rPr>
          <w:rFonts w:ascii="宋体" w:hAnsi="宋体" w:cs="宋体"/>
          <w:b/>
          <w:sz w:val="32"/>
        </w:rPr>
      </w:pPr>
    </w:p>
    <w:p w14:paraId="1A0A05F8">
      <w:pPr>
        <w:ind w:firstLine="2249" w:firstLineChars="700"/>
        <w:outlineLvl w:val="0"/>
        <w:rPr>
          <w:rFonts w:ascii="宋体" w:hAnsi="宋体" w:cs="宋体"/>
          <w:b/>
          <w:sz w:val="32"/>
        </w:rPr>
      </w:pPr>
    </w:p>
    <w:p w14:paraId="670CED09">
      <w:pPr>
        <w:ind w:firstLine="2249" w:firstLineChars="700"/>
        <w:outlineLvl w:val="0"/>
        <w:rPr>
          <w:rFonts w:ascii="宋体" w:hAnsi="宋体" w:cs="宋体"/>
          <w:b/>
          <w:sz w:val="32"/>
        </w:rPr>
      </w:pPr>
    </w:p>
    <w:p w14:paraId="5EEFBDB9">
      <w:pPr>
        <w:ind w:firstLine="2249" w:firstLineChars="700"/>
        <w:outlineLvl w:val="0"/>
        <w:rPr>
          <w:rFonts w:ascii="宋体" w:hAnsi="宋体" w:cs="宋体"/>
          <w:b/>
          <w:sz w:val="32"/>
        </w:rPr>
      </w:pPr>
    </w:p>
    <w:p w14:paraId="16EBC88E">
      <w:pPr>
        <w:ind w:firstLine="2249" w:firstLineChars="700"/>
        <w:outlineLvl w:val="0"/>
        <w:rPr>
          <w:rFonts w:ascii="宋体" w:hAnsi="宋体" w:cs="宋体"/>
          <w:b/>
          <w:sz w:val="32"/>
        </w:rPr>
      </w:pPr>
    </w:p>
    <w:p w14:paraId="7A00AADD">
      <w:pPr>
        <w:ind w:firstLine="2249" w:firstLineChars="700"/>
        <w:outlineLvl w:val="0"/>
        <w:rPr>
          <w:rFonts w:ascii="宋体" w:hAnsi="宋体" w:cs="宋体"/>
          <w:b/>
          <w:sz w:val="32"/>
        </w:rPr>
      </w:pPr>
    </w:p>
    <w:p w14:paraId="729B8B66">
      <w:pPr>
        <w:ind w:firstLine="2249" w:firstLineChars="700"/>
        <w:outlineLvl w:val="0"/>
        <w:rPr>
          <w:rFonts w:ascii="宋体" w:hAnsi="宋体" w:cs="宋体"/>
          <w:b/>
          <w:sz w:val="32"/>
        </w:rPr>
      </w:pPr>
    </w:p>
    <w:p w14:paraId="6FE047C4">
      <w:pPr>
        <w:ind w:firstLine="2249" w:firstLineChars="7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RYCG2026062</w:t>
      </w:r>
    </w:p>
    <w:p w14:paraId="41260BB4">
      <w:pPr>
        <w:tabs>
          <w:tab w:val="left" w:pos="3240"/>
        </w:tabs>
        <w:spacing w:line="500" w:lineRule="exact"/>
        <w:ind w:left="1438" w:leftChars="685"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融水苗族自治县人民医院专线防火墙采购项目</w:t>
      </w: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RYCG2026062</w:t>
      </w:r>
      <w:r>
        <w:rPr>
          <w:rFonts w:hint="eastAsia" w:ascii="宋体" w:hAnsi="宋体" w:cs="宋体"/>
          <w:bCs/>
          <w:szCs w:val="21"/>
        </w:rPr>
        <w:t>的</w:t>
      </w:r>
      <w:r>
        <w:rPr>
          <w:rFonts w:hint="eastAsia" w:ascii="宋体" w:hAnsi="宋体" w:cs="宋体"/>
          <w:bCs/>
          <w:szCs w:val="21"/>
          <w:u w:val="single"/>
        </w:rPr>
        <w:t>融水苗族自治县人民医院专线防火墙</w:t>
      </w:r>
      <w:r>
        <w:rPr>
          <w:rFonts w:hint="eastAsia" w:ascii="宋体" w:hAnsi="宋体" w:cs="宋体"/>
          <w:szCs w:val="21"/>
          <w:u w:val="single"/>
        </w:rPr>
        <w:t>采购项目的议价文件（采购控制价：</w:t>
      </w:r>
      <w:r>
        <w:rPr>
          <w:rFonts w:hint="eastAsia" w:ascii="宋体" w:hAnsi="宋体" w:cs="宋体"/>
          <w:bCs/>
          <w:szCs w:val="21"/>
          <w:u w:val="single"/>
        </w:rPr>
        <w:t>53000</w:t>
      </w:r>
      <w:r>
        <w:rPr>
          <w:rFonts w:hint="eastAsia" w:ascii="宋体" w:hAnsi="宋体" w:cs="宋体"/>
          <w:bCs/>
          <w:szCs w:val="21"/>
          <w:u w:val="single"/>
          <w:lang w:val="en-US" w:eastAsia="zh-CN"/>
        </w:rPr>
        <w:t>.00</w:t>
      </w:r>
      <w:r>
        <w:rPr>
          <w:rFonts w:hint="eastAsia" w:ascii="宋体" w:hAnsi="宋体" w:cs="宋体"/>
          <w:bCs/>
          <w:szCs w:val="21"/>
          <w:u w:val="single"/>
        </w:rPr>
        <w:t>元（伍万叁仟元整）</w:t>
      </w:r>
      <w:r>
        <w:rPr>
          <w:rFonts w:hint="eastAsia" w:hAnsi="宋体" w:cs="宋体"/>
          <w:szCs w:val="21"/>
          <w:u w:val="single"/>
        </w:rPr>
        <w:t>，</w:t>
      </w:r>
      <w:r>
        <w:rPr>
          <w:rFonts w:hint="eastAsia" w:ascii="宋体" w:hAnsi="宋体" w:cs="宋体"/>
          <w:szCs w:val="21"/>
          <w:u w:val="single"/>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融水苗族自治县人民医院专线防火墙采购项目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ascii="宋体" w:hAnsi="宋体" w:cs="宋体"/>
                <w:szCs w:val="21"/>
              </w:rPr>
            </w:pPr>
            <w:r>
              <w:rPr>
                <w:rFonts w:ascii="宋体" w:hAnsi="宋体" w:cs="宋体"/>
                <w:sz w:val="24"/>
              </w:rPr>
              <w:t>供货</w:t>
            </w:r>
            <w:r>
              <w:rPr>
                <w:rFonts w:hint="eastAsia" w:ascii="宋体" w:hAnsi="宋体" w:cs="宋体"/>
                <w:sz w:val="24"/>
              </w:rPr>
              <w:t>、</w:t>
            </w:r>
            <w:r>
              <w:rPr>
                <w:rFonts w:ascii="宋体" w:hAnsi="宋体" w:cs="宋体"/>
                <w:sz w:val="24"/>
              </w:rPr>
              <w:t>安装</w:t>
            </w:r>
            <w:r>
              <w:rPr>
                <w:rFonts w:hint="eastAsia" w:ascii="宋体" w:hAnsi="宋体" w:cs="宋体"/>
                <w:sz w:val="24"/>
              </w:rPr>
              <w:t>、调试</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ascii="宋体" w:hAnsi="宋体" w:cs="宋体"/>
                <w:szCs w:val="21"/>
              </w:rPr>
            </w:pPr>
            <w:r>
              <w:rPr>
                <w:rFonts w:ascii="宋体" w:hAnsi="宋体" w:cs="宋体"/>
                <w:sz w:val="24"/>
              </w:rPr>
              <w:t>质保期</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 w:val="24"/>
              </w:rPr>
              <w:t>3年</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ascii="宋体" w:hAnsi="宋体" w:cs="宋体"/>
                <w:szCs w:val="21"/>
              </w:rPr>
            </w:pPr>
            <w:r>
              <w:rPr>
                <w:rFonts w:ascii="宋体" w:hAnsi="宋体" w:cs="宋体"/>
                <w:sz w:val="24"/>
              </w:rPr>
              <w:t>故障响应</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ascii="宋体" w:hAnsi="宋体" w:cs="宋体"/>
                <w:szCs w:val="21"/>
              </w:rPr>
            </w:pPr>
            <w:r>
              <w:rPr>
                <w:rFonts w:ascii="宋体" w:hAnsi="宋体" w:cs="宋体"/>
                <w:sz w:val="24"/>
              </w:rPr>
              <w:t>质量标准</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ascii="宋体" w:hAnsi="宋体" w:cs="宋体"/>
                <w:szCs w:val="21"/>
              </w:rPr>
            </w:pPr>
            <w:r>
              <w:rPr>
                <w:rFonts w:hint="eastAsia" w:ascii="宋体" w:hAnsi="宋体" w:cs="宋体"/>
                <w:szCs w:val="21"/>
              </w:rPr>
              <w:t>53000</w:t>
            </w:r>
            <w:r>
              <w:rPr>
                <w:rFonts w:hint="eastAsia" w:ascii="宋体" w:hAnsi="宋体" w:cs="宋体"/>
                <w:szCs w:val="21"/>
                <w:lang w:val="en-US" w:eastAsia="zh-CN"/>
              </w:rPr>
              <w:t>.00</w:t>
            </w:r>
            <w:r>
              <w:rPr>
                <w:rFonts w:hint="eastAsia" w:ascii="宋体" w:hAnsi="宋体" w:cs="宋体"/>
                <w:szCs w:val="21"/>
              </w:rPr>
              <w:t>元</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ascii="宋体" w:hAnsi="宋体" w:cs="宋体"/>
                <w:szCs w:val="21"/>
              </w:rPr>
            </w:pPr>
            <w:r>
              <w:rPr>
                <w:rFonts w:hint="eastAsia" w:ascii="宋体" w:hAnsi="宋体" w:cs="宋体"/>
                <w:szCs w:val="21"/>
              </w:rPr>
              <w:t>维保服务</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ascii="宋体" w:hAnsi="宋体" w:cs="宋体"/>
                <w:szCs w:val="21"/>
              </w:rPr>
            </w:pPr>
            <w:r>
              <w:rPr>
                <w:rFonts w:hint="eastAsia" w:ascii="宋体" w:hAnsi="宋体" w:cs="宋体"/>
                <w:szCs w:val="21"/>
              </w:rPr>
              <w:t>核心要求</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7E3AAD3D">
      <w:pPr>
        <w:spacing w:line="520" w:lineRule="exact"/>
        <w:jc w:val="center"/>
        <w:rPr>
          <w:rFonts w:ascii="宋体" w:hAnsi="宋体" w:cs="宋体"/>
          <w:b/>
          <w:sz w:val="36"/>
          <w:szCs w:val="36"/>
        </w:rPr>
      </w:pPr>
      <w:r>
        <w:rPr>
          <w:rFonts w:hint="eastAsia" w:ascii="宋体" w:hAnsi="宋体" w:cs="宋体"/>
          <w:b/>
          <w:sz w:val="36"/>
          <w:szCs w:val="36"/>
        </w:rPr>
        <w:t>报价清单</w:t>
      </w:r>
    </w:p>
    <w:p w14:paraId="075251CF">
      <w:pPr>
        <w:spacing w:line="440" w:lineRule="exact"/>
        <w:ind w:firstLine="420" w:firstLineChars="200"/>
        <w:jc w:val="left"/>
        <w:rPr>
          <w:rFonts w:ascii="宋体" w:hAnsi="宋体" w:cs="宋体"/>
          <w:bCs/>
          <w:szCs w:val="21"/>
        </w:rPr>
      </w:pPr>
    </w:p>
    <w:p w14:paraId="1B5B49B0">
      <w:pPr>
        <w:spacing w:line="440" w:lineRule="exact"/>
        <w:jc w:val="left"/>
        <w:rPr>
          <w:rFonts w:ascii="宋体" w:hAnsi="宋体" w:cs="宋体"/>
          <w:bCs/>
          <w:szCs w:val="21"/>
        </w:rPr>
      </w:pPr>
      <w:r>
        <w:rPr>
          <w:rFonts w:hint="eastAsia" w:ascii="宋体" w:hAnsi="宋体" w:cs="宋体"/>
          <w:bCs/>
          <w:szCs w:val="21"/>
        </w:rPr>
        <w:t>1.报价单位（盖章）：__________</w:t>
      </w:r>
    </w:p>
    <w:p w14:paraId="70C1D6E6">
      <w:pPr>
        <w:spacing w:line="440" w:lineRule="exact"/>
        <w:jc w:val="left"/>
        <w:rPr>
          <w:rFonts w:ascii="宋体" w:hAnsi="宋体" w:cs="宋体"/>
          <w:bCs/>
          <w:szCs w:val="21"/>
        </w:rPr>
      </w:pPr>
      <w:r>
        <w:rPr>
          <w:rFonts w:hint="eastAsia" w:ascii="宋体" w:hAnsi="宋体" w:cs="宋体"/>
          <w:bCs/>
          <w:szCs w:val="21"/>
        </w:rPr>
        <w:t>2.报价人：__________</w:t>
      </w:r>
    </w:p>
    <w:p w14:paraId="57DDA733">
      <w:pPr>
        <w:spacing w:line="440" w:lineRule="exact"/>
        <w:jc w:val="left"/>
        <w:rPr>
          <w:rFonts w:ascii="宋体" w:hAnsi="宋体" w:cs="宋体"/>
          <w:bCs/>
          <w:szCs w:val="21"/>
        </w:rPr>
      </w:pPr>
      <w:r>
        <w:rPr>
          <w:rFonts w:hint="eastAsia" w:ascii="宋体" w:hAnsi="宋体" w:cs="宋体"/>
          <w:bCs/>
          <w:szCs w:val="21"/>
        </w:rPr>
        <w:t>3.联系电话：__________</w:t>
      </w:r>
    </w:p>
    <w:p w14:paraId="4A073F49">
      <w:pPr>
        <w:spacing w:line="440" w:lineRule="exact"/>
        <w:jc w:val="left"/>
        <w:rPr>
          <w:rFonts w:ascii="宋体" w:hAnsi="宋体" w:cs="宋体"/>
          <w:bCs/>
          <w:szCs w:val="21"/>
        </w:rPr>
      </w:pPr>
      <w:r>
        <w:rPr>
          <w:rFonts w:hint="eastAsia" w:ascii="宋体" w:hAnsi="宋体" w:cs="宋体"/>
          <w:bCs/>
          <w:szCs w:val="21"/>
        </w:rPr>
        <w:t>4.报价日期：____年__月__日</w:t>
      </w:r>
    </w:p>
    <w:p w14:paraId="2491E9DD">
      <w:pPr>
        <w:spacing w:line="360" w:lineRule="auto"/>
        <w:rPr>
          <w:rFonts w:ascii="宋体" w:hAnsi="宋体" w:cs="宋体"/>
          <w:b/>
          <w:szCs w:val="21"/>
        </w:rPr>
      </w:pPr>
      <w:r>
        <w:rPr>
          <w:rFonts w:hint="eastAsia" w:ascii="宋体" w:hAnsi="宋体" w:cs="宋体"/>
          <w:bCs/>
          <w:szCs w:val="21"/>
        </w:rPr>
        <w:t>5.项目概况：</w:t>
      </w:r>
      <w:r>
        <w:rPr>
          <w:rFonts w:hint="eastAsia" w:ascii="宋体" w:hAnsi="宋体" w:cs="宋体"/>
          <w:b/>
          <w:szCs w:val="21"/>
        </w:rPr>
        <w:t>项目背景：</w:t>
      </w:r>
      <w:r>
        <w:rPr>
          <w:rFonts w:hint="eastAsia" w:ascii="宋体" w:hAnsi="宋体" w:cs="宋体"/>
          <w:bCs/>
          <w:szCs w:val="21"/>
        </w:rPr>
        <w:t>医院现有专线防火墙 8 个线路口已全部用尽，无法满足业务扩展需求，需更换为高接口、高性能、高安全防护能力的下一代防火墙设备。</w:t>
      </w:r>
      <w:bookmarkStart w:id="9" w:name="_GoBack"/>
      <w:bookmarkEnd w:id="9"/>
      <w:r>
        <w:rPr>
          <w:rFonts w:hint="eastAsia" w:ascii="宋体" w:hAnsi="宋体" w:cs="宋体"/>
          <w:b/>
          <w:szCs w:val="21"/>
        </w:rPr>
        <w:t>采购内容：</w:t>
      </w:r>
      <w:r>
        <w:rPr>
          <w:rFonts w:hint="eastAsia" w:ascii="宋体" w:hAnsi="宋体" w:cs="宋体"/>
          <w:bCs/>
          <w:szCs w:val="21"/>
        </w:rPr>
        <w:t>下一代防火墙设备 1 台，含安装调试、3 年硬件质保及软件特征库升级服务。</w:t>
      </w:r>
      <w:r>
        <w:rPr>
          <w:rFonts w:hint="eastAsia" w:ascii="宋体" w:hAnsi="宋体" w:cs="宋体"/>
          <w:b/>
          <w:szCs w:val="21"/>
        </w:rPr>
        <w:t>服务期限：</w:t>
      </w:r>
      <w:r>
        <w:rPr>
          <w:rFonts w:hint="eastAsia" w:ascii="宋体" w:hAnsi="宋体" w:cs="宋体"/>
          <w:bCs/>
          <w:szCs w:val="21"/>
        </w:rPr>
        <w:t>合同签订后7 个工作日内完成到货、安装、调试、上线运行。</w:t>
      </w:r>
      <w:r>
        <w:rPr>
          <w:rFonts w:hint="eastAsia" w:ascii="宋体" w:hAnsi="宋体" w:cs="宋体"/>
          <w:b/>
          <w:szCs w:val="21"/>
        </w:rPr>
        <w:t>质保服务：</w:t>
      </w:r>
      <w:r>
        <w:rPr>
          <w:rFonts w:hint="eastAsia" w:ascii="宋体" w:hAnsi="宋体" w:cs="宋体"/>
          <w:bCs/>
          <w:szCs w:val="21"/>
        </w:rPr>
        <w:t>原厂硬件质保 + 软件特征库升级服务不少于 3 年。</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503"/>
        <w:gridCol w:w="1161"/>
        <w:gridCol w:w="1161"/>
        <w:gridCol w:w="1161"/>
        <w:gridCol w:w="1161"/>
        <w:gridCol w:w="1161"/>
        <w:gridCol w:w="1161"/>
      </w:tblGrid>
      <w:tr w14:paraId="2D6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18" w:type="dxa"/>
            <w:shd w:val="clear" w:color="auto" w:fill="FFFFFF" w:themeFill="background1"/>
          </w:tcPr>
          <w:p w14:paraId="30A2AC3C">
            <w:pPr>
              <w:spacing w:line="284" w:lineRule="auto"/>
              <w:jc w:val="center"/>
              <w:rPr>
                <w:rFonts w:ascii="Arial"/>
                <w:color w:val="000000" w:themeColor="text1"/>
              </w:rPr>
            </w:pPr>
          </w:p>
          <w:p w14:paraId="70A9ECD5">
            <w:pPr>
              <w:pStyle w:val="273"/>
              <w:spacing w:before="77" w:line="191" w:lineRule="auto"/>
              <w:ind w:left="124"/>
              <w:jc w:val="center"/>
              <w:rPr>
                <w:color w:val="000000" w:themeColor="text1"/>
              </w:rPr>
            </w:pPr>
            <w:r>
              <w:rPr>
                <w:b/>
                <w:bCs/>
                <w:color w:val="000000" w:themeColor="text1"/>
                <w:spacing w:val="11"/>
              </w:rPr>
              <w:t>序号</w:t>
            </w:r>
          </w:p>
        </w:tc>
        <w:tc>
          <w:tcPr>
            <w:tcW w:w="1503" w:type="dxa"/>
            <w:shd w:val="clear" w:color="auto" w:fill="FFFFFF" w:themeFill="background1"/>
          </w:tcPr>
          <w:p w14:paraId="04983924">
            <w:pPr>
              <w:pStyle w:val="273"/>
              <w:spacing w:before="77" w:line="191" w:lineRule="auto"/>
              <w:ind w:left="124"/>
              <w:jc w:val="center"/>
              <w:rPr>
                <w:b/>
                <w:bCs/>
                <w:color w:val="000000" w:themeColor="text1"/>
                <w:spacing w:val="11"/>
              </w:rPr>
            </w:pPr>
          </w:p>
          <w:p w14:paraId="5DBF1201">
            <w:pPr>
              <w:pStyle w:val="273"/>
              <w:spacing w:before="77" w:line="191" w:lineRule="auto"/>
              <w:ind w:left="124"/>
              <w:jc w:val="center"/>
              <w:rPr>
                <w:b/>
                <w:bCs/>
                <w:color w:val="000000" w:themeColor="text1"/>
                <w:spacing w:val="11"/>
              </w:rPr>
            </w:pPr>
            <w:r>
              <w:rPr>
                <w:b/>
                <w:bCs/>
                <w:color w:val="000000" w:themeColor="text1"/>
                <w:spacing w:val="11"/>
              </w:rPr>
              <w:t>产品名称</w:t>
            </w:r>
          </w:p>
        </w:tc>
        <w:tc>
          <w:tcPr>
            <w:tcW w:w="1161" w:type="dxa"/>
            <w:shd w:val="clear" w:color="auto" w:fill="FFFFFF" w:themeFill="background1"/>
            <w:vAlign w:val="center"/>
          </w:tcPr>
          <w:p w14:paraId="01C5000F">
            <w:pPr>
              <w:pStyle w:val="273"/>
              <w:spacing w:before="77" w:line="191" w:lineRule="auto"/>
              <w:ind w:left="124"/>
              <w:jc w:val="center"/>
              <w:rPr>
                <w:b/>
                <w:bCs/>
                <w:color w:val="000000" w:themeColor="text1"/>
                <w:spacing w:val="11"/>
              </w:rPr>
            </w:pPr>
          </w:p>
          <w:p w14:paraId="0EFF337E">
            <w:pPr>
              <w:pStyle w:val="273"/>
              <w:spacing w:before="77" w:line="191" w:lineRule="auto"/>
              <w:ind w:left="124"/>
              <w:jc w:val="center"/>
              <w:rPr>
                <w:b/>
                <w:bCs/>
                <w:color w:val="000000" w:themeColor="text1"/>
                <w:spacing w:val="11"/>
              </w:rPr>
            </w:pPr>
            <w:r>
              <w:rPr>
                <w:b/>
                <w:bCs/>
                <w:color w:val="000000" w:themeColor="text1"/>
                <w:spacing w:val="11"/>
              </w:rPr>
              <w:t>产品型号</w:t>
            </w:r>
          </w:p>
        </w:tc>
        <w:tc>
          <w:tcPr>
            <w:tcW w:w="1161" w:type="dxa"/>
            <w:shd w:val="clear" w:color="auto" w:fill="FFFFFF" w:themeFill="background1"/>
          </w:tcPr>
          <w:p w14:paraId="4D804A11">
            <w:pPr>
              <w:pStyle w:val="273"/>
              <w:spacing w:before="77" w:line="191" w:lineRule="auto"/>
              <w:ind w:left="124"/>
              <w:jc w:val="center"/>
              <w:rPr>
                <w:b/>
                <w:bCs/>
                <w:color w:val="000000" w:themeColor="text1"/>
                <w:spacing w:val="11"/>
              </w:rPr>
            </w:pPr>
          </w:p>
          <w:p w14:paraId="46E5B12C">
            <w:pPr>
              <w:pStyle w:val="273"/>
              <w:spacing w:before="77" w:line="191" w:lineRule="auto"/>
              <w:ind w:left="124"/>
              <w:jc w:val="center"/>
              <w:rPr>
                <w:b/>
                <w:bCs/>
                <w:color w:val="000000" w:themeColor="text1"/>
                <w:spacing w:val="11"/>
              </w:rPr>
            </w:pPr>
            <w:r>
              <w:rPr>
                <w:b/>
                <w:bCs/>
                <w:color w:val="000000" w:themeColor="text1"/>
                <w:spacing w:val="11"/>
              </w:rPr>
              <w:t>产品描述</w:t>
            </w:r>
          </w:p>
        </w:tc>
        <w:tc>
          <w:tcPr>
            <w:tcW w:w="1161" w:type="dxa"/>
            <w:shd w:val="clear" w:color="auto" w:fill="FFFFFF" w:themeFill="background1"/>
          </w:tcPr>
          <w:p w14:paraId="332C50D6">
            <w:pPr>
              <w:spacing w:line="284" w:lineRule="auto"/>
              <w:jc w:val="center"/>
              <w:rPr>
                <w:rFonts w:ascii="Arial"/>
                <w:color w:val="000000" w:themeColor="text1"/>
              </w:rPr>
            </w:pPr>
          </w:p>
          <w:p w14:paraId="37B76843">
            <w:pPr>
              <w:pStyle w:val="273"/>
              <w:spacing w:before="77" w:line="191" w:lineRule="auto"/>
              <w:ind w:left="176"/>
              <w:jc w:val="center"/>
              <w:rPr>
                <w:color w:val="000000" w:themeColor="text1"/>
              </w:rPr>
            </w:pPr>
            <w:r>
              <w:rPr>
                <w:b/>
                <w:bCs/>
                <w:color w:val="000000" w:themeColor="text1"/>
                <w:spacing w:val="11"/>
              </w:rPr>
              <w:t>单位</w:t>
            </w:r>
          </w:p>
        </w:tc>
        <w:tc>
          <w:tcPr>
            <w:tcW w:w="1161" w:type="dxa"/>
            <w:shd w:val="clear" w:color="auto" w:fill="FFFFFF" w:themeFill="background1"/>
            <w:textDirection w:val="tbRlV"/>
          </w:tcPr>
          <w:p w14:paraId="5ED67C97">
            <w:pPr>
              <w:pStyle w:val="273"/>
              <w:spacing w:before="167" w:line="186" w:lineRule="auto"/>
              <w:ind w:left="87"/>
              <w:jc w:val="center"/>
              <w:rPr>
                <w:color w:val="000000" w:themeColor="text1"/>
              </w:rPr>
            </w:pPr>
            <w:r>
              <w:rPr>
                <w:b/>
                <w:bCs/>
                <w:color w:val="000000" w:themeColor="text1"/>
                <w:spacing w:val="11"/>
              </w:rPr>
              <w:t>数量</w:t>
            </w:r>
          </w:p>
        </w:tc>
        <w:tc>
          <w:tcPr>
            <w:tcW w:w="1161" w:type="dxa"/>
            <w:shd w:val="clear" w:color="auto" w:fill="FFFFFF" w:themeFill="background1"/>
          </w:tcPr>
          <w:p w14:paraId="61CBF2E8">
            <w:pPr>
              <w:spacing w:line="284" w:lineRule="auto"/>
              <w:jc w:val="center"/>
              <w:rPr>
                <w:rFonts w:ascii="Arial"/>
                <w:color w:val="000000" w:themeColor="text1"/>
              </w:rPr>
            </w:pPr>
          </w:p>
          <w:p w14:paraId="45C44D63">
            <w:pPr>
              <w:pStyle w:val="273"/>
              <w:spacing w:before="77" w:line="191" w:lineRule="auto"/>
              <w:ind w:left="372"/>
              <w:jc w:val="center"/>
              <w:rPr>
                <w:color w:val="000000" w:themeColor="text1"/>
              </w:rPr>
            </w:pPr>
            <w:r>
              <w:rPr>
                <w:b/>
                <w:bCs/>
                <w:color w:val="000000" w:themeColor="text1"/>
                <w:spacing w:val="11"/>
              </w:rPr>
              <w:t>单价</w:t>
            </w:r>
          </w:p>
        </w:tc>
        <w:tc>
          <w:tcPr>
            <w:tcW w:w="1161" w:type="dxa"/>
            <w:shd w:val="clear" w:color="auto" w:fill="FFFFFF" w:themeFill="background1"/>
          </w:tcPr>
          <w:p w14:paraId="7C4A4C13">
            <w:pPr>
              <w:spacing w:line="285" w:lineRule="auto"/>
              <w:jc w:val="center"/>
              <w:rPr>
                <w:rFonts w:ascii="Arial"/>
                <w:color w:val="000000" w:themeColor="text1"/>
              </w:rPr>
            </w:pPr>
          </w:p>
          <w:p w14:paraId="2E37740C">
            <w:pPr>
              <w:pStyle w:val="273"/>
              <w:spacing w:before="77" w:line="190" w:lineRule="auto"/>
              <w:ind w:left="411"/>
              <w:jc w:val="center"/>
              <w:rPr>
                <w:color w:val="000000" w:themeColor="text1"/>
              </w:rPr>
            </w:pPr>
            <w:r>
              <w:rPr>
                <w:b/>
                <w:bCs/>
                <w:color w:val="000000" w:themeColor="text1"/>
                <w:spacing w:val="11"/>
              </w:rPr>
              <w:t>小计</w:t>
            </w:r>
          </w:p>
        </w:tc>
      </w:tr>
      <w:tr w14:paraId="4897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2" w:hRule="atLeast"/>
        </w:trPr>
        <w:tc>
          <w:tcPr>
            <w:tcW w:w="818" w:type="dxa"/>
          </w:tcPr>
          <w:p w14:paraId="5FBAA2F2">
            <w:pPr>
              <w:spacing w:line="440" w:lineRule="exact"/>
              <w:ind w:firstLine="210" w:firstLineChars="100"/>
              <w:jc w:val="left"/>
              <w:rPr>
                <w:rFonts w:ascii="宋体" w:hAnsi="宋体" w:cs="宋体"/>
                <w:bCs/>
                <w:szCs w:val="21"/>
              </w:rPr>
            </w:pPr>
          </w:p>
          <w:p w14:paraId="3218EC17">
            <w:pPr>
              <w:spacing w:line="440" w:lineRule="exact"/>
              <w:ind w:firstLine="210" w:firstLineChars="100"/>
              <w:jc w:val="left"/>
              <w:rPr>
                <w:rFonts w:ascii="宋体" w:hAnsi="宋体" w:cs="宋体"/>
                <w:bCs/>
                <w:szCs w:val="21"/>
              </w:rPr>
            </w:pPr>
          </w:p>
          <w:p w14:paraId="610B5677">
            <w:pPr>
              <w:spacing w:line="440" w:lineRule="exact"/>
              <w:ind w:firstLine="210" w:firstLineChars="100"/>
              <w:jc w:val="left"/>
              <w:rPr>
                <w:rFonts w:ascii="宋体" w:hAnsi="宋体" w:cs="宋体"/>
                <w:bCs/>
                <w:szCs w:val="21"/>
              </w:rPr>
            </w:pPr>
          </w:p>
          <w:p w14:paraId="5C3C9231">
            <w:pPr>
              <w:spacing w:line="440" w:lineRule="exact"/>
              <w:ind w:firstLine="210" w:firstLineChars="100"/>
              <w:jc w:val="left"/>
              <w:rPr>
                <w:rFonts w:ascii="宋体" w:hAnsi="宋体" w:cs="宋体"/>
                <w:bCs/>
                <w:szCs w:val="21"/>
              </w:rPr>
            </w:pPr>
          </w:p>
          <w:p w14:paraId="51B66594">
            <w:pPr>
              <w:spacing w:line="440" w:lineRule="exact"/>
              <w:ind w:firstLine="210" w:firstLineChars="100"/>
              <w:jc w:val="left"/>
              <w:rPr>
                <w:rFonts w:ascii="宋体" w:hAnsi="宋体" w:cs="宋体"/>
                <w:bCs/>
                <w:szCs w:val="21"/>
              </w:rPr>
            </w:pPr>
            <w:r>
              <w:rPr>
                <w:rFonts w:hint="eastAsia" w:ascii="宋体" w:hAnsi="宋体" w:cs="宋体"/>
                <w:bCs/>
                <w:szCs w:val="21"/>
              </w:rPr>
              <w:t>1</w:t>
            </w:r>
          </w:p>
        </w:tc>
        <w:tc>
          <w:tcPr>
            <w:tcW w:w="1503" w:type="dxa"/>
          </w:tcPr>
          <w:p w14:paraId="5EF6B5EA">
            <w:pPr>
              <w:spacing w:line="440" w:lineRule="exact"/>
              <w:jc w:val="center"/>
              <w:rPr>
                <w:rFonts w:ascii="宋体" w:hAnsi="宋体" w:cs="宋体"/>
                <w:bCs/>
                <w:szCs w:val="21"/>
              </w:rPr>
            </w:pPr>
          </w:p>
          <w:p w14:paraId="5DF61AF4">
            <w:pPr>
              <w:spacing w:line="440" w:lineRule="exact"/>
              <w:jc w:val="center"/>
              <w:rPr>
                <w:rFonts w:ascii="宋体" w:hAnsi="宋体" w:cs="宋体"/>
                <w:bCs/>
                <w:szCs w:val="21"/>
              </w:rPr>
            </w:pPr>
          </w:p>
          <w:p w14:paraId="4482F2A4">
            <w:pPr>
              <w:spacing w:line="440" w:lineRule="exact"/>
              <w:jc w:val="center"/>
              <w:rPr>
                <w:rFonts w:ascii="宋体" w:hAnsi="宋体" w:cs="宋体"/>
                <w:bCs/>
                <w:szCs w:val="21"/>
              </w:rPr>
            </w:pPr>
          </w:p>
          <w:p w14:paraId="583DD879">
            <w:pPr>
              <w:spacing w:line="440" w:lineRule="exact"/>
              <w:jc w:val="center"/>
              <w:rPr>
                <w:rFonts w:ascii="宋体" w:hAnsi="宋体" w:cs="宋体"/>
                <w:bCs/>
                <w:szCs w:val="21"/>
              </w:rPr>
            </w:pPr>
          </w:p>
          <w:p w14:paraId="6B0EBC3E">
            <w:pPr>
              <w:spacing w:line="440" w:lineRule="exact"/>
              <w:jc w:val="center"/>
              <w:rPr>
                <w:rFonts w:ascii="宋体" w:hAnsi="宋体" w:cs="宋体"/>
                <w:bCs/>
                <w:szCs w:val="21"/>
              </w:rPr>
            </w:pPr>
            <w:r>
              <w:rPr>
                <w:rFonts w:hint="eastAsia" w:ascii="宋体" w:hAnsi="宋体" w:cs="宋体"/>
                <w:bCs/>
                <w:szCs w:val="21"/>
              </w:rPr>
              <w:t>防火墙</w:t>
            </w:r>
          </w:p>
        </w:tc>
        <w:tc>
          <w:tcPr>
            <w:tcW w:w="1161" w:type="dxa"/>
          </w:tcPr>
          <w:p w14:paraId="5EB09C67">
            <w:pPr>
              <w:spacing w:line="440" w:lineRule="exact"/>
              <w:jc w:val="left"/>
              <w:rPr>
                <w:rFonts w:ascii="宋体" w:hAnsi="宋体" w:cs="宋体"/>
                <w:bCs/>
                <w:szCs w:val="21"/>
              </w:rPr>
            </w:pPr>
          </w:p>
        </w:tc>
        <w:tc>
          <w:tcPr>
            <w:tcW w:w="1161" w:type="dxa"/>
          </w:tcPr>
          <w:p w14:paraId="2534EF0E">
            <w:pPr>
              <w:spacing w:line="440" w:lineRule="exact"/>
              <w:jc w:val="left"/>
              <w:rPr>
                <w:rFonts w:ascii="宋体" w:hAnsi="宋体" w:cs="宋体"/>
                <w:bCs/>
                <w:szCs w:val="21"/>
              </w:rPr>
            </w:pPr>
          </w:p>
        </w:tc>
        <w:tc>
          <w:tcPr>
            <w:tcW w:w="1161" w:type="dxa"/>
          </w:tcPr>
          <w:p w14:paraId="6267053D">
            <w:pPr>
              <w:spacing w:line="440" w:lineRule="exact"/>
              <w:jc w:val="center"/>
              <w:rPr>
                <w:rFonts w:ascii="宋体" w:hAnsi="宋体" w:cs="宋体"/>
                <w:bCs/>
                <w:szCs w:val="21"/>
              </w:rPr>
            </w:pPr>
          </w:p>
          <w:p w14:paraId="3CDBB67F">
            <w:pPr>
              <w:spacing w:line="440" w:lineRule="exact"/>
              <w:jc w:val="center"/>
              <w:rPr>
                <w:rFonts w:ascii="宋体" w:hAnsi="宋体" w:cs="宋体"/>
                <w:bCs/>
                <w:szCs w:val="21"/>
              </w:rPr>
            </w:pPr>
          </w:p>
          <w:p w14:paraId="4408A176">
            <w:pPr>
              <w:spacing w:line="440" w:lineRule="exact"/>
              <w:jc w:val="center"/>
              <w:rPr>
                <w:rFonts w:ascii="宋体" w:hAnsi="宋体" w:cs="宋体"/>
                <w:bCs/>
                <w:szCs w:val="21"/>
              </w:rPr>
            </w:pPr>
          </w:p>
          <w:p w14:paraId="59FA99FB">
            <w:pPr>
              <w:spacing w:line="440" w:lineRule="exact"/>
              <w:jc w:val="center"/>
              <w:rPr>
                <w:rFonts w:ascii="宋体" w:hAnsi="宋体" w:cs="宋体"/>
                <w:bCs/>
                <w:szCs w:val="21"/>
              </w:rPr>
            </w:pPr>
          </w:p>
          <w:p w14:paraId="649C1441">
            <w:pPr>
              <w:spacing w:line="440" w:lineRule="exact"/>
              <w:jc w:val="center"/>
              <w:rPr>
                <w:rFonts w:ascii="宋体" w:hAnsi="宋体" w:cs="宋体"/>
                <w:bCs/>
                <w:szCs w:val="21"/>
              </w:rPr>
            </w:pPr>
            <w:r>
              <w:rPr>
                <w:rFonts w:hint="eastAsia" w:ascii="宋体" w:hAnsi="宋体" w:cs="宋体"/>
                <w:bCs/>
                <w:szCs w:val="21"/>
              </w:rPr>
              <w:t>套</w:t>
            </w:r>
          </w:p>
        </w:tc>
        <w:tc>
          <w:tcPr>
            <w:tcW w:w="1161" w:type="dxa"/>
          </w:tcPr>
          <w:p w14:paraId="17AB9193">
            <w:pPr>
              <w:spacing w:line="440" w:lineRule="exact"/>
              <w:jc w:val="left"/>
              <w:rPr>
                <w:rFonts w:ascii="宋体" w:hAnsi="宋体" w:cs="宋体"/>
                <w:bCs/>
                <w:szCs w:val="21"/>
              </w:rPr>
            </w:pPr>
          </w:p>
          <w:p w14:paraId="549C658B">
            <w:pPr>
              <w:spacing w:line="440" w:lineRule="exact"/>
              <w:jc w:val="left"/>
              <w:rPr>
                <w:rFonts w:ascii="宋体" w:hAnsi="宋体" w:cs="宋体"/>
                <w:bCs/>
                <w:szCs w:val="21"/>
              </w:rPr>
            </w:pPr>
          </w:p>
          <w:p w14:paraId="5960E131">
            <w:pPr>
              <w:spacing w:line="440" w:lineRule="exact"/>
              <w:jc w:val="left"/>
              <w:rPr>
                <w:rFonts w:ascii="宋体" w:hAnsi="宋体" w:cs="宋体"/>
                <w:bCs/>
                <w:szCs w:val="21"/>
              </w:rPr>
            </w:pPr>
          </w:p>
          <w:p w14:paraId="45D64EA9">
            <w:pPr>
              <w:spacing w:line="440" w:lineRule="exact"/>
              <w:jc w:val="left"/>
              <w:rPr>
                <w:rFonts w:ascii="宋体" w:hAnsi="宋体" w:cs="宋体"/>
                <w:bCs/>
                <w:szCs w:val="21"/>
              </w:rPr>
            </w:pPr>
          </w:p>
          <w:p w14:paraId="74719E93">
            <w:pPr>
              <w:spacing w:line="440" w:lineRule="exact"/>
              <w:jc w:val="left"/>
              <w:rPr>
                <w:rFonts w:ascii="宋体" w:hAnsi="宋体" w:cs="宋体"/>
                <w:bCs/>
                <w:szCs w:val="21"/>
              </w:rPr>
            </w:pPr>
            <w:r>
              <w:rPr>
                <w:rFonts w:hint="eastAsia" w:ascii="宋体" w:hAnsi="宋体" w:cs="宋体"/>
                <w:bCs/>
                <w:szCs w:val="21"/>
              </w:rPr>
              <w:t xml:space="preserve">    1</w:t>
            </w:r>
          </w:p>
        </w:tc>
        <w:tc>
          <w:tcPr>
            <w:tcW w:w="1161" w:type="dxa"/>
          </w:tcPr>
          <w:p w14:paraId="21F11F18">
            <w:pPr>
              <w:spacing w:line="440" w:lineRule="exact"/>
              <w:jc w:val="left"/>
              <w:rPr>
                <w:rFonts w:ascii="宋体" w:hAnsi="宋体" w:cs="宋体"/>
                <w:bCs/>
                <w:szCs w:val="21"/>
              </w:rPr>
            </w:pPr>
          </w:p>
        </w:tc>
        <w:tc>
          <w:tcPr>
            <w:tcW w:w="1161" w:type="dxa"/>
          </w:tcPr>
          <w:p w14:paraId="078A3BED">
            <w:pPr>
              <w:spacing w:line="440" w:lineRule="exact"/>
              <w:jc w:val="left"/>
              <w:rPr>
                <w:rFonts w:ascii="宋体" w:hAnsi="宋体" w:cs="宋体"/>
                <w:bCs/>
                <w:szCs w:val="21"/>
              </w:rPr>
            </w:pPr>
          </w:p>
        </w:tc>
      </w:tr>
      <w:tr w14:paraId="77E4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4643" w:type="dxa"/>
            <w:gridSpan w:val="4"/>
          </w:tcPr>
          <w:p w14:paraId="07E48E5E">
            <w:pPr>
              <w:spacing w:line="440" w:lineRule="exact"/>
              <w:jc w:val="left"/>
              <w:rPr>
                <w:rFonts w:ascii="宋体" w:hAnsi="宋体" w:cs="宋体"/>
                <w:bCs/>
                <w:szCs w:val="21"/>
              </w:rPr>
            </w:pPr>
            <w:r>
              <w:rPr>
                <w:spacing w:val="-3"/>
                <w:sz w:val="22"/>
                <w:szCs w:val="22"/>
              </w:rPr>
              <w:t>总报价(人民币</w:t>
            </w:r>
            <w:r>
              <w:rPr>
                <w:spacing w:val="-16"/>
                <w:sz w:val="22"/>
                <w:szCs w:val="22"/>
              </w:rPr>
              <w:t>）</w:t>
            </w:r>
            <w:r>
              <w:rPr>
                <w:rFonts w:hint="eastAsia"/>
                <w:spacing w:val="-16"/>
                <w:sz w:val="22"/>
                <w:szCs w:val="22"/>
              </w:rPr>
              <w:t>：</w:t>
            </w:r>
          </w:p>
        </w:tc>
        <w:tc>
          <w:tcPr>
            <w:tcW w:w="2322" w:type="dxa"/>
            <w:gridSpan w:val="2"/>
          </w:tcPr>
          <w:p w14:paraId="1E055555">
            <w:pPr>
              <w:spacing w:line="440" w:lineRule="exact"/>
              <w:jc w:val="center"/>
              <w:rPr>
                <w:rFonts w:ascii="宋体" w:hAnsi="宋体" w:cs="宋体"/>
                <w:bCs/>
                <w:szCs w:val="21"/>
              </w:rPr>
            </w:pPr>
            <w:r>
              <w:rPr>
                <w:spacing w:val="15"/>
              </w:rPr>
              <w:t>人民币大写</w:t>
            </w:r>
          </w:p>
        </w:tc>
        <w:tc>
          <w:tcPr>
            <w:tcW w:w="2322" w:type="dxa"/>
            <w:gridSpan w:val="2"/>
          </w:tcPr>
          <w:p w14:paraId="43D784AD">
            <w:pPr>
              <w:spacing w:line="440" w:lineRule="exact"/>
              <w:jc w:val="left"/>
              <w:rPr>
                <w:rFonts w:ascii="宋体" w:hAnsi="宋体" w:cs="宋体"/>
                <w:bCs/>
                <w:szCs w:val="21"/>
              </w:rPr>
            </w:pPr>
          </w:p>
        </w:tc>
      </w:tr>
      <w:tr w14:paraId="2253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9287" w:type="dxa"/>
            <w:gridSpan w:val="8"/>
          </w:tcPr>
          <w:p w14:paraId="13976A79">
            <w:pPr>
              <w:pStyle w:val="273"/>
              <w:spacing w:before="114" w:line="185" w:lineRule="auto"/>
              <w:ind w:left="110"/>
              <w:rPr>
                <w:sz w:val="22"/>
                <w:szCs w:val="22"/>
                <w:lang w:eastAsia="zh-CN"/>
              </w:rPr>
            </w:pPr>
            <w:r>
              <w:rPr>
                <w:spacing w:val="-1"/>
                <w:sz w:val="22"/>
                <w:szCs w:val="22"/>
                <w:lang w:eastAsia="zh-CN"/>
              </w:rPr>
              <w:t>备注：</w:t>
            </w:r>
          </w:p>
          <w:p w14:paraId="0A0AB15D">
            <w:pPr>
              <w:pStyle w:val="273"/>
              <w:spacing w:before="66" w:line="237" w:lineRule="auto"/>
              <w:ind w:right="198" w:firstLine="433"/>
              <w:rPr>
                <w:sz w:val="22"/>
                <w:szCs w:val="22"/>
                <w:lang w:eastAsia="zh-CN"/>
              </w:rPr>
            </w:pPr>
            <w:r>
              <w:rPr>
                <w:spacing w:val="-2"/>
                <w:sz w:val="22"/>
                <w:szCs w:val="22"/>
                <w:lang w:eastAsia="zh-CN"/>
              </w:rPr>
              <w:t>本报价含税含技术咨询维护、现场巡检、三年质保（不含人为损坏）等服务 ，</w:t>
            </w:r>
            <w:r>
              <w:rPr>
                <w:spacing w:val="-3"/>
                <w:sz w:val="22"/>
                <w:szCs w:val="22"/>
                <w:lang w:eastAsia="zh-CN"/>
              </w:rPr>
              <w:t>质保期</w:t>
            </w:r>
            <w:r>
              <w:rPr>
                <w:spacing w:val="-2"/>
                <w:sz w:val="22"/>
                <w:szCs w:val="22"/>
                <w:lang w:eastAsia="zh-CN"/>
              </w:rPr>
              <w:t>从验收之日开始。</w:t>
            </w:r>
          </w:p>
          <w:p w14:paraId="41D33447">
            <w:pPr>
              <w:spacing w:line="440" w:lineRule="exact"/>
              <w:jc w:val="left"/>
              <w:rPr>
                <w:rFonts w:ascii="宋体" w:hAnsi="宋体" w:cs="宋体"/>
                <w:bCs/>
                <w:szCs w:val="21"/>
              </w:rPr>
            </w:pPr>
            <w:r>
              <w:rPr>
                <w:spacing w:val="-3"/>
                <w:sz w:val="22"/>
                <w:szCs w:val="22"/>
              </w:rPr>
              <w:t>联系人：</w:t>
            </w:r>
          </w:p>
        </w:tc>
      </w:tr>
    </w:tbl>
    <w:p w14:paraId="780C5BFD">
      <w:pPr>
        <w:spacing w:line="440" w:lineRule="exact"/>
        <w:jc w:val="left"/>
        <w:rPr>
          <w:rFonts w:ascii="宋体" w:hAnsi="宋体" w:cs="宋体"/>
          <w:bCs/>
          <w:szCs w:val="21"/>
        </w:rPr>
      </w:pPr>
      <w:r>
        <w:rPr>
          <w:rFonts w:hint="eastAsia" w:ascii="宋体" w:hAnsi="宋体" w:cs="宋体"/>
          <w:bCs/>
          <w:szCs w:val="21"/>
        </w:rPr>
        <w:t xml:space="preserve">                                                 报价单位：</w:t>
      </w:r>
    </w:p>
    <w:p w14:paraId="2C04EF67">
      <w:pPr>
        <w:spacing w:line="440" w:lineRule="exact"/>
        <w:jc w:val="left"/>
        <w:rPr>
          <w:rFonts w:ascii="宋体" w:hAnsi="宋体" w:cs="宋体"/>
          <w:bCs/>
          <w:szCs w:val="21"/>
        </w:rPr>
      </w:pPr>
      <w:r>
        <w:rPr>
          <w:rFonts w:hint="eastAsia" w:ascii="宋体" w:hAnsi="宋体" w:cs="宋体"/>
          <w:bCs/>
          <w:szCs w:val="21"/>
        </w:rPr>
        <w:t xml:space="preserve">                                                 报价日期：</w:t>
      </w:r>
    </w:p>
    <w:p w14:paraId="074FFC75">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ascii="宋体" w:hAnsi="宋体" w:cs="宋体"/>
          <w:b/>
          <w:bCs/>
          <w:szCs w:val="21"/>
        </w:rPr>
        <w:t>政府采购云平台资质证明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（粘贴</w:t>
      </w:r>
      <w:r>
        <w:rPr>
          <w:rFonts w:ascii="宋体" w:hAnsi="宋体" w:cs="宋体"/>
          <w:szCs w:val="21"/>
        </w:rPr>
        <w:t>政府采购云平台资质证明</w:t>
      </w:r>
      <w:r>
        <w:rPr>
          <w:rFonts w:hint="eastAsia" w:ascii="宋体" w:hAnsi="宋体" w:cs="宋体"/>
          <w:bCs/>
          <w:szCs w:val="21"/>
        </w:rPr>
        <w:t>质证书复印件，加盖供应商公章）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szCs w:val="21"/>
          <w:u w:val="single"/>
        </w:rPr>
        <w:t>融水苗族自治县人民医院专线防火墙采购项目（RYCG2026062）</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11"/>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w:pict>
        <v:shape id="文本框 10"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path/>
          <v:fill on="f" focussize="0,0"/>
          <v:stroke on="f" weight="1.25pt" joinstyle="miter"/>
          <v:imagedata o:title=""/>
          <o:lock v:ext="edit"/>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融水苗族自治县人民医院专线防火墙采购项目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（采购编号：RYCG2026062融人医招〔2026〕）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融水苗族自治县人民医院专线防火墙采购项目</w:t>
    </w:r>
  </w:p>
  <w:p w14:paraId="4E83E88D">
    <w:pPr>
      <w:pStyle w:val="31"/>
      <w:pBdr>
        <w:bottom w:val="none" w:color="auto" w:sz="0" w:space="1"/>
      </w:pBdr>
      <w:wordWrap w:val="0"/>
      <w:jc w:val="right"/>
    </w:pPr>
    <w:r>
      <w:rPr>
        <w:rFonts w:hint="eastAsia"/>
        <w:sz w:val="21"/>
        <w:szCs w:val="22"/>
        <w:u w:val="single"/>
      </w:rPr>
      <w:t>（采购编号：RYCG2026062融人医招〔2026〕）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A6C30191"/>
    <w:multiLevelType w:val="multilevel"/>
    <w:tmpl w:val="A6C3019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E0D80AA6"/>
    <w:multiLevelType w:val="singleLevel"/>
    <w:tmpl w:val="E0D80AA6"/>
    <w:lvl w:ilvl="0" w:tentative="0">
      <w:start w:val="3"/>
      <w:numFmt w:val="chineseCounting"/>
      <w:suff w:val="space"/>
      <w:lvlText w:val="第%1章"/>
      <w:lvlJc w:val="left"/>
      <w:rPr>
        <w:rFonts w:hint="eastAsia"/>
      </w:rPr>
    </w:lvl>
  </w:abstractNum>
  <w:abstractNum w:abstractNumId="3">
    <w:nsid w:val="ECDA8F5A"/>
    <w:multiLevelType w:val="multilevel"/>
    <w:tmpl w:val="ECDA8F5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5">
    <w:nsid w:val="0DED447C"/>
    <w:multiLevelType w:val="multilevel"/>
    <w:tmpl w:val="0DED447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21537FC8"/>
    <w:multiLevelType w:val="multilevel"/>
    <w:tmpl w:val="21537FC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52A3EC38"/>
    <w:multiLevelType w:val="singleLevel"/>
    <w:tmpl w:val="52A3EC38"/>
    <w:lvl w:ilvl="0" w:tentative="0">
      <w:start w:val="3"/>
      <w:numFmt w:val="chineseCounting"/>
      <w:pStyle w:val="20"/>
      <w:suff w:val="nothing"/>
      <w:lvlText w:val="%1、"/>
      <w:lvlJc w:val="left"/>
    </w:lvl>
  </w:abstractNum>
  <w:num w:numId="1">
    <w:abstractNumId w:val="4"/>
  </w:num>
  <w:num w:numId="2">
    <w:abstractNumId w:val="7"/>
  </w:num>
  <w:num w:numId="3">
    <w:abstractNumId w:val="2"/>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14</Pages>
  <Words>5208</Words>
  <Characters>5691</Characters>
  <Lines>46</Lines>
  <Paragraphs>13</Paragraphs>
  <TotalTime>0</TotalTime>
  <ScaleCrop>false</ScaleCrop>
  <LinksUpToDate>false</LinksUpToDate>
  <CharactersWithSpaces>6031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2026-05-06T09:28:02Z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B4E618E5307344258BC6798BF07A1DC2_13</vt:lpwstr>
  </property>
  <property fmtid="{D5CDD505-2E9C-101B-9397-08002B2CF9AE}" pid="4" name="KSOTemplateDocerSaveRecord">
    <vt:lpwstr>eyJoZGlkIjoiYjI0M2Y2ZWVhYjQ0YmI4NjQ4ZjNhYzhmYjE2MjllMTkiLCJ1c2VySWQiOiIzNDkxMzkxODgifQ==</vt:lpwstr>
  </property>
</Properties>
</file>