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777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融水苗族自治县人民医院</w:t>
      </w:r>
      <w:r>
        <w:rPr>
          <w:rFonts w:hint="eastAsia"/>
          <w:color w:val="000000"/>
          <w:sz w:val="32"/>
          <w:szCs w:val="32"/>
          <w:lang w:val="en-US" w:eastAsia="zh-CN"/>
        </w:rPr>
        <w:t>更换</w:t>
      </w:r>
      <w:r>
        <w:rPr>
          <w:color w:val="000000"/>
          <w:sz w:val="32"/>
          <w:szCs w:val="32"/>
        </w:rPr>
        <w:t>专线防火墙</w:t>
      </w:r>
    </w:p>
    <w:p w14:paraId="60B9C7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eastAsia="宋体"/>
          <w:lang w:val="en-US" w:eastAsia="zh-CN"/>
        </w:rPr>
      </w:pPr>
      <w:r>
        <w:rPr>
          <w:color w:val="000000"/>
          <w:sz w:val="32"/>
          <w:szCs w:val="32"/>
        </w:rPr>
        <w:t>采购项目</w:t>
      </w:r>
      <w:r>
        <w:rPr>
          <w:rFonts w:hint="eastAsia"/>
          <w:color w:val="000000"/>
          <w:sz w:val="32"/>
          <w:szCs w:val="32"/>
          <w:lang w:val="en-US" w:eastAsia="zh-CN"/>
        </w:rPr>
        <w:t>需求</w:t>
      </w:r>
      <w:bookmarkStart w:id="0" w:name="_GoBack"/>
      <w:bookmarkEnd w:id="0"/>
    </w:p>
    <w:p w14:paraId="0896263C">
      <w:r>
        <w:t>一、★性能参数：</w:t>
      </w:r>
    </w:p>
    <w:p w14:paraId="B195055B">
      <w:r>
        <w:t>1、网络层吞吐量≥10G，应用层吞吐量≥5G，防病毒吞吐量≥1G，IPS吞吐量≥1G，并发连接数≥200万，HTTP新建连接数≥6万；</w:t>
      </w:r>
    </w:p>
    <w:p w14:paraId="5CB99073">
      <w:r>
        <w:t>2、硬件指标：产品采用多核并行处理架构，内存大小≥8G，硬盘容量≥128G SSD，接口≥12千兆电口，≥4千兆光口，≥2万兆光口SFP+；</w:t>
      </w:r>
    </w:p>
    <w:p w14:paraId="A246BDE1">
      <w:r>
        <w:t>3、含威胁情报与Web应用防护能力；提供不少于3年产品硬件质保及软件特征库升级服务；</w:t>
      </w:r>
    </w:p>
    <w:p w14:paraId="0C7EF00E">
      <w:r>
        <w:t>二、功能参数：</w:t>
      </w:r>
    </w:p>
    <w:p w14:paraId="62BF4600">
      <w:r>
        <w:t>1、产品支持路由模式、透明模式、虚拟网线模式、旁路镜像模式等多种部署方式；</w:t>
      </w:r>
    </w:p>
    <w:p w14:paraId="2D233832">
      <w:r>
        <w:t>2、产品支持链路连通性检查功能，支持基于3种以上协议对链路连通性进行探测，探测协议至少包括DNS解析、ARP探测、PING和BFD等方式；</w:t>
      </w:r>
    </w:p>
    <w:p w14:paraId="561C3269">
      <w:r>
        <w:t>3、产品支持路由类型、协议类型、网络对象、国家地区等条件进行自动选路的策略路由，支持不少于3种的调度算法，至少包括带宽比例、加权流量、线路优先等；</w:t>
      </w:r>
    </w:p>
    <w:p w14:paraId="46706285">
      <w:r>
        <w:t>4、产品支持多对一、一对多和一对一等多种地址转换方式；</w:t>
      </w:r>
    </w:p>
    <w:p w14:paraId="01671CFF">
      <w:r>
        <w:t>5、产品支持IPsec VPN和SSL VPN功能；</w:t>
      </w:r>
    </w:p>
    <w:p w14:paraId="16ED764A">
      <w:r>
        <w:t>6、产品支持IPSec VPN智能选路功能，根据线路质量和应用实现自动链路切换；</w:t>
      </w:r>
    </w:p>
    <w:p w14:paraId="7272ED9F">
      <w:r>
        <w:t>7、产品支持3种以上的用户认证方式,包含但不限于单点登录、本地账号密码、外部账号密码认证；</w:t>
      </w:r>
    </w:p>
    <w:p w14:paraId="40E432C3">
      <w:r>
        <w:t>8、产品支持对不少于9000种应用的识别和控制，应用类型包括游戏、购物、图书百科、工作招聘、P2P下载、聊天工具、旅游出行、股票软件等类型应用进行检测与控制；</w:t>
      </w:r>
    </w:p>
    <w:p w14:paraId="BC413667">
      <w:r>
        <w:t>9、产品支持多维度流量控制功能，支持基于IP地址、用户、应用、时间设置流量控制策略，保证关键业务带宽日常需求；</w:t>
      </w:r>
    </w:p>
    <w:p w14:paraId="3F9D1511">
      <w:r>
        <w:t>10、产品支持对ICMP、UDP、DNS、SYN等协议进行DDOS防护；</w:t>
      </w:r>
    </w:p>
    <w:p w14:paraId="7F9CE1E2">
      <w:r>
        <w:t>11、产品支持https解密功能，支持TCP代理和SSL代理；</w:t>
      </w:r>
    </w:p>
    <w:p w14:paraId="E679DB5B">
      <w:r>
        <w:t>12、★产品支持对压缩病毒文件进行检测和拦截，压缩层数支持15层及以上；（提供产品界面截图并加盖投标人公章）</w:t>
      </w:r>
    </w:p>
    <w:p w14:paraId="6BC2AD71">
      <w:r>
        <w:t>13、产品内置不低于13800种漏洞规则，同时支持在控制台界面通过漏洞ID、漏洞名称、危险等级、漏洞CVE标识、漏洞描述等条件查询漏洞特征信息，支持用户自定义IPS规则；</w:t>
      </w:r>
    </w:p>
    <w:p w14:paraId="4BF7D417">
      <w:r>
        <w:t>14、产品支持僵尸主机检测功能，产品内置僵尸网络特征库超过120万种，可识别主机的异常外联行为；</w:t>
      </w:r>
    </w:p>
    <w:p w14:paraId="E8E94D6D">
      <w:r>
        <w:t>15、★产品内置超过4500种WEB应用攻击特征，支持对跨站脚本（XSS）攻击、SQL注入、文件包含攻击、信息泄露攻击、WEBSHELL、网站扫描、网页木马等攻击类型进行防护；（提供产品界面截图并加盖投标人公章）</w:t>
      </w:r>
    </w:p>
    <w:p w14:paraId="F49D6150">
      <w:r>
        <w:t>16、★产品支持用户账号全生命周期保护功能，包括用户账号多余入口检测、用户账号弱口令检测、用户账号暴力破解检测、失陷账号检测，防止因账号被暴力破解导致的非法提权情况发生；（提供产品界面截图并加盖投标人公章）</w:t>
      </w:r>
    </w:p>
    <w:p w14:paraId="FC7F4496">
      <w:r>
        <w:t>17、★产品可识别IT、OT、IoT混合资产，获取IP、MAC、操作系统、类型、厂商等信息，终端类型包括但不限于：</w:t>
      </w:r>
    </w:p>
    <w:p w14:paraId="89D4DBF5">
      <w:r>
        <w:t>（1）PC、瘦客户机、手机、平板、交换机、路由器、防火墙、无线控制器、服务器等IT资产</w:t>
      </w:r>
    </w:p>
    <w:p w14:paraId="D8884200">
      <w:r>
        <w:t>（2）摄像头、门禁、打印机、投影仪、VOIP设备、条形码扫描仪、医学图像打印机、呼吸机、心电图仪、监护仪、放射系统等IoT资产（提供产品界面截图并加盖投标人公章）</w:t>
      </w:r>
    </w:p>
    <w:p w14:paraId="50F61C4F">
      <w:r>
        <w:t>18、★产品可扩展主动诱捕功能，通过伪装业务诱捕内外网的攻击行为，并联合云蜜罐获取黑客指纹信息，并自动封锁高危IP；（提供产品界面截图并加盖投标人公章）</w:t>
      </w:r>
    </w:p>
    <w:p w14:paraId="C4233A4B">
      <w:r>
        <w:t>19、★产品支持策略生命周期管理功能，支持对安全策略修改的时间、原因、变更类型进行统一管理，便于策略的运维与管理；（提供产品界面截图并加盖投标人公章）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5405D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uiPriority w:val="1"/>
  </w:style>
  <w:style w:type="table" w:default="1" w:styleId="3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1297</Words>
  <Characters>1436</Characters>
  <Paragraphs>26</Paragraphs>
  <TotalTime>0</TotalTime>
  <ScaleCrop>false</ScaleCrop>
  <LinksUpToDate>false</LinksUpToDate>
  <CharactersWithSpaces>1440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2026-04-29T04:11:00Z</dcterms:created>
  <dc:creator>PLR-AL30</dc:creator>
  <cp:lastModifiedBy>无心人</cp:lastModifiedBy>
  <dcterms:modified xsi:type="dcterms:W3CDTF">2026-05-06T03:15:20Z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eb82cbe5174d49b4824ccee024613754_21</vt:lpwstr>
  </property>
  <property fmtid="{D5CDD505-2E9C-101B-9397-08002B2CF9AE}" pid="3" name="KSOTemplateDocerSaveRecord">
    <vt:lpwstr>eyJoZGlkIjoiYjI0M2Y2ZWVhYjQ0YmI4NjQ4ZjNhYzhmYjE2MjllMTkiLCJ1c2VySWQiOiIzNDkxMzkxODgifQ==</vt:lpwstr>
  </property>
  <property fmtid="{D5CDD505-2E9C-101B-9397-08002B2CF9AE}" pid="4" name="KSOProductBuildVer">
    <vt:lpwstr>2052-12.1.0.24034</vt:lpwstr>
  </property>
</Properties>
</file>